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37c21a5144bd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Slatter, Street, Reed, Ryu, Berg, Alvarado, Taylor, Bateman, Ramel, Senn, Goodman, Fitzgibbon, Macri, Simmons, Reeves, Lekanoff, Orwall, Duerr, Thai, Gregerson, Wylie, Ortiz-Self, Stonier, Pollet, Riccelli, Donaghy, Fosse, and Ormsby; by request of Attorney General)</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sharing, and selling of consumer health data;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a consumer's past, present, or future physical or mental health including, but not limited to:</w:t>
      </w:r>
    </w:p>
    <w:p>
      <w:pPr>
        <w:spacing w:before="0" w:after="0" w:line="408" w:lineRule="exact"/>
        <w:ind w:left="0" w:right="0" w:firstLine="576"/>
        <w:jc w:val="left"/>
      </w:pPr>
      <w:r>
        <w:rPr/>
        <w:t xml:space="preserve">(i) Individual health conditions, treatment, status, diseases, or diagnoses;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medication;</w:t>
      </w:r>
    </w:p>
    <w:p>
      <w:pPr>
        <w:spacing w:before="0" w:after="0" w:line="408" w:lineRule="exact"/>
        <w:ind w:left="0" w:right="0" w:firstLine="576"/>
        <w:jc w:val="left"/>
      </w:pPr>
      <w:r>
        <w:rPr/>
        <w:t xml:space="preserve">(v) Bodily functions, vital signs, symptoms, or measurements of the information described in this subsection;</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 related to information described in this subsection (8)(a);</w:t>
      </w:r>
    </w:p>
    <w:p>
      <w:pPr>
        <w:spacing w:before="0" w:after="0" w:line="408" w:lineRule="exact"/>
        <w:ind w:left="0" w:right="0" w:firstLine="576"/>
        <w:jc w:val="left"/>
      </w:pPr>
      <w:r>
        <w:rPr/>
        <w:t xml:space="preserve">(x) Genetic data related to information described in this subsection (8)(a);</w:t>
      </w:r>
    </w:p>
    <w:p>
      <w:pPr>
        <w:spacing w:before="0" w:after="0" w:line="408" w:lineRule="exact"/>
        <w:ind w:left="0" w:right="0" w:firstLine="576"/>
        <w:jc w:val="left"/>
      </w:pPr>
      <w:r>
        <w:rPr/>
        <w:t xml:space="preserve">(xi) Precise location information that could reasonably indicate a consumer's attempt to acquire or receive health services or supplies; or</w:t>
      </w:r>
    </w:p>
    <w:p>
      <w:pPr>
        <w:spacing w:before="0" w:after="0" w:line="408" w:lineRule="exact"/>
        <w:ind w:left="0" w:right="0" w:firstLine="576"/>
        <w:jc w:val="left"/>
      </w:pPr>
      <w:r>
        <w:rPr/>
        <w:t xml:space="preserve">(xii) Any information described in (a)(i) through (xi)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(b)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individual, or a device linked to such individual, if the regulated entity that possesses such data (a) takes reasonable measures to ensure that such data cannot be associated with an individual; (b) publicly commits to process such data only in a deidentified fashion and not attempt to reidentify such data; and (c) contractually obligates any recipients of such data to satisfy the criteria set forth in (a) and (b) of this subsection.</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location detection to establish a virtual boundary around a specific physical location.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 Any biometric data collected about a consumer by a business without the consumer's knowledge is not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has a reasonable basis to believe a consumer has lawfully made available to the general public.</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exchange of consumer health data for monetary or other valuable consideration.</w:t>
      </w:r>
    </w:p>
    <w:p>
      <w:pPr>
        <w:spacing w:before="0" w:after="0" w:line="408" w:lineRule="exact"/>
        <w:ind w:left="0" w:right="0" w:firstLine="576"/>
        <w:jc w:val="left"/>
      </w:pPr>
      <w:r>
        <w:rPr/>
        <w:t xml:space="preserve">(b) "Sell" or "sale" does not include the exchange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assets that complies with the requirements and obligations in this chapter; or</w:t>
      </w:r>
    </w:p>
    <w:p>
      <w:pPr>
        <w:spacing w:before="0" w:after="0" w:line="408" w:lineRule="exact"/>
        <w:ind w:left="0" w:right="0" w:firstLine="576"/>
        <w:jc w:val="left"/>
      </w:pPr>
      <w:r>
        <w:rPr/>
        <w:t xml:space="preserve">(ii) By a regulated entity to a processor when such exchange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maintains control and ownership of the data; and (C) the third party uses the consumer health data only at direction from the regulated entity and consistent with the purpose for which it was collected and disclosed to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assets and complies with the requirements and obligations in this chapter.</w:t>
      </w:r>
    </w:p>
    <w:p>
      <w:pPr>
        <w:spacing w:before="0" w:after="0" w:line="408" w:lineRule="exact"/>
        <w:ind w:left="0" w:right="0" w:firstLine="576"/>
        <w:jc w:val="left"/>
      </w:pPr>
      <w:r>
        <w:rPr/>
        <w:t xml:space="preserve">(28) "Third party" means an entity other than a consumer, regulated entity, processor, or affiliate of the regulated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maintain a consumer health data privacy policy that clearly and conspicuously discloses:</w:t>
      </w:r>
    </w:p>
    <w:p>
      <w:pPr>
        <w:spacing w:before="0" w:after="0" w:line="408" w:lineRule="exact"/>
        <w:ind w:left="0" w:right="0" w:firstLine="576"/>
        <w:jc w:val="left"/>
      </w:pPr>
      <w:r>
        <w:rPr/>
        <w:t xml:space="preserve">(a) The categories of consumer health data collected and the purpose for which the data is collected, including how the data will be used;</w:t>
      </w:r>
    </w:p>
    <w:p>
      <w:pPr>
        <w:spacing w:before="0" w:after="0" w:line="408" w:lineRule="exact"/>
        <w:ind w:left="0" w:right="0" w:firstLine="576"/>
        <w:jc w:val="left"/>
      </w:pPr>
      <w:r>
        <w:rPr/>
        <w:t xml:space="preserve">(b) The categories of sources from which the consumer health data is collected;</w:t>
      </w:r>
    </w:p>
    <w:p>
      <w:pPr>
        <w:spacing w:before="0" w:after="0" w:line="408" w:lineRule="exact"/>
        <w:ind w:left="0" w:right="0" w:firstLine="576"/>
        <w:jc w:val="left"/>
      </w:pPr>
      <w:r>
        <w:rPr/>
        <w:t xml:space="preserve">(c) The categories of consumer health data that is shared;</w:t>
      </w:r>
    </w:p>
    <w:p>
      <w:pPr>
        <w:spacing w:before="0" w:after="0" w:line="408" w:lineRule="exact"/>
        <w:ind w:left="0" w:right="0" w:firstLine="576"/>
        <w:jc w:val="left"/>
      </w:pPr>
      <w:r>
        <w:rPr/>
        <w:t xml:space="preserve">(d) A list of the categories of third parties and specific affiliates with whom the regulated entity shares the consumer health data; and</w:t>
      </w:r>
    </w:p>
    <w:p>
      <w:pPr>
        <w:spacing w:before="0" w:after="0" w:line="408" w:lineRule="exact"/>
        <w:ind w:left="0" w:right="0" w:firstLine="576"/>
        <w:jc w:val="left"/>
      </w:pPr>
      <w:r>
        <w:rPr/>
        <w:t xml:space="preserve">(e) How a consumer can exercise the rights provided in section 6 of this act.</w:t>
      </w:r>
    </w:p>
    <w:p>
      <w:pPr>
        <w:spacing w:before="0" w:after="0" w:line="408" w:lineRule="exact"/>
        <w:ind w:left="0" w:right="0" w:firstLine="576"/>
        <w:jc w:val="left"/>
      </w:pPr>
      <w:r>
        <w:rPr/>
        <w:t xml:space="preserve">(2) A regulated entity shall prominently publish a link to its consumer health data privacy policy on its homepage.</w:t>
      </w:r>
    </w:p>
    <w:p>
      <w:pPr>
        <w:spacing w:before="0" w:after="0" w:line="408" w:lineRule="exact"/>
        <w:ind w:left="0" w:right="0" w:firstLine="576"/>
        <w:jc w:val="left"/>
      </w:pPr>
      <w:r>
        <w:rPr/>
        <w:t xml:space="preserve">(3) A regulated entity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(4) A regulated entity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(5) It is a violation of this chapter for a regulated entity to contract with a processor to process consumer health data in a manner that is inconsistent with the regulated entity's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may not collect any consumer health data except:</w:t>
      </w:r>
    </w:p>
    <w:p>
      <w:pPr>
        <w:spacing w:before="0" w:after="0" w:line="408" w:lineRule="exact"/>
        <w:ind w:left="0" w:right="0" w:firstLine="576"/>
        <w:jc w:val="left"/>
      </w:pPr>
      <w:r>
        <w:rPr/>
        <w:t xml:space="preserve">(a) With consent from the consumer for such collection for a specified purpose;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may not share any consumer health data except:</w:t>
      </w:r>
    </w:p>
    <w:p>
      <w:pPr>
        <w:spacing w:before="0" w:after="0" w:line="408" w:lineRule="exact"/>
        <w:ind w:left="0" w:right="0" w:firstLine="576"/>
        <w:jc w:val="left"/>
      </w:pPr>
      <w:r>
        <w:rPr/>
        <w:t xml:space="preserve">(a)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(3) Consent required under this section must be obtained prior to the collection or sharing, as applicable, of any consumer health data, and the request for consent must clearly and conspicuously disclose: (a) The categories of consumer health data collected or shared; (b) the purpose of the collection or sharing of the consumer health data, including the specific ways in which it will be used; (c) the categories of entities with whom the consumer health data is shared; and (d) how the consumer can withdraw consent from future collection or sharing of the consumer's health data.</w:t>
      </w:r>
    </w:p>
    <w:p>
      <w:pPr>
        <w:spacing w:before="0" w:after="0" w:line="408" w:lineRule="exact"/>
        <w:ind w:left="0" w:right="0" w:firstLine="576"/>
        <w:jc w:val="left"/>
      </w:pPr>
      <w:r>
        <w:rPr/>
        <w:t xml:space="preserve">(4) A regulated entity may not unlawfully discriminate against a consumer for exercising any rights included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a regulated entity is collecting, sharing, or selling consumer health data concerning the consumer and to access such data, including a list of all third parties and affiliates with whom the regulated entity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(2) A consumer has the right to withdraw consent from the regulated entity's collection and sharing of consumer health data concerning the consumer.</w:t>
      </w:r>
    </w:p>
    <w:p>
      <w:pPr>
        <w:spacing w:before="0" w:after="0" w:line="408" w:lineRule="exact"/>
        <w:ind w:left="0" w:right="0" w:firstLine="576"/>
        <w:jc w:val="left"/>
      </w:pPr>
      <w:r>
        <w:rPr/>
        <w:t xml:space="preserve">(3) A consumer has the right to have consumer health data concerning the consumer deleted and may exercise that right by informing the regulated entity of the consumer's request for deletion.</w:t>
      </w:r>
    </w:p>
    <w:p>
      <w:pPr>
        <w:spacing w:before="0" w:after="0" w:line="408" w:lineRule="exact"/>
        <w:ind w:left="0" w:right="0" w:firstLine="576"/>
        <w:jc w:val="left"/>
      </w:pPr>
      <w:r>
        <w:rPr/>
        <w:t xml:space="preserve">(a) A regulated entity that receives a consumer's request to delete any consumer health data concerning the consumer shall without unreasonable delay and no more than 30 calendar days from authenticating the deletion request:</w:t>
      </w:r>
    </w:p>
    <w:p>
      <w:pPr>
        <w:spacing w:before="0" w:after="0" w:line="408" w:lineRule="exact"/>
        <w:ind w:left="0" w:right="0" w:firstLine="576"/>
        <w:jc w:val="left"/>
      </w:pPr>
      <w:r>
        <w:rPr/>
        <w:t xml:space="preserve">(i) Delete the consumer health data from its records, including from all parts of the regulated entity's network, including archived or backup systems pursuant to (c) of this subsection; and</w:t>
      </w:r>
    </w:p>
    <w:p>
      <w:pPr>
        <w:spacing w:before="0" w:after="0" w:line="408" w:lineRule="exact"/>
        <w:ind w:left="0" w:right="0" w:firstLine="576"/>
        <w:jc w:val="left"/>
      </w:pPr>
      <w:r>
        <w:rPr/>
        <w:t xml:space="preserve">(ii) Notify all affiliates, processors, contractors, and other third parties with whom the regulated entity has shared consumer health data of the deletion request.</w:t>
      </w:r>
    </w:p>
    <w:p>
      <w:pPr>
        <w:spacing w:before="0" w:after="0" w:line="408" w:lineRule="exact"/>
        <w:ind w:left="0" w:right="0" w:firstLine="576"/>
        <w:jc w:val="left"/>
      </w:pPr>
      <w:r>
        <w:rPr/>
        <w:t xml:space="preserve">(b)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(c)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(4) A consumer may exercise the rights set forth in this chapter by submitting a request, at any time, to a regulated entity. Such a request may be made by a secure and reliable means established by the regulated entity and described in its consumer health data privacy policy. The method must take into account the ways in which consumers normally interact with the regulated entity, the need for secure and reliable communication of such requests, and the ability of the regulated entity to authenticate the identity of the consumer making the request. A regulated entity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(5) If a regulated entity is unable to authenticate the request using commercially reasonable efforts, the regulated entity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(6) Information provided in response to a consumer request must be provided by a regulated entity free of charge, up to twice annually per consumer. If requests from a consumer are manifestly unfounded, excessive, or repetitive, the regulated entity may charge the consumer a reasonable fee to cover the administrative costs of complying with the request or decline to act on the request. The regulated entity bears the burden of demonstrating the manifestly unfounded, excessive, or repetitive nature of the request.</w:t>
      </w:r>
    </w:p>
    <w:p>
      <w:pPr>
        <w:spacing w:before="0" w:after="0" w:line="408" w:lineRule="exact"/>
        <w:ind w:left="0" w:right="0" w:firstLine="576"/>
        <w:jc w:val="left"/>
      </w:pPr>
      <w:r>
        <w:rPr/>
        <w:t xml:space="preserve">(7) A regulated entity shall respond to the consumer without undue delay, but in all cases within 45 days of receipt of the request submitted pursuant to the methods described in this section. The response period may be extended once by 45 additional days when reasonably necessary, taking into account the complexity and number of the consumer's requests, so long as the regulated entity informs the consumer of any such extension within the initial 45-day response period, together with the reason for the extension.</w:t>
      </w:r>
    </w:p>
    <w:p>
      <w:pPr>
        <w:spacing w:before="0" w:after="0" w:line="408" w:lineRule="exact"/>
        <w:ind w:left="0" w:right="0" w:firstLine="576"/>
        <w:jc w:val="left"/>
      </w:pPr>
      <w:r>
        <w:rPr/>
        <w:t xml:space="preserve">(8) A regulated entity shall establish a process for a consumer to appeal the regulated entity's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shall inform the consumer in writing of any action taken or not taken in response to the appeal, including a written explanation of the reasons for the decisions. If the appeal is denied, the regulated entity shall also provide the consumer with an online mechanism, if available, or other method through which the consumer may contact the attorney general to submit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restrict access to consumer health data by the employees, processors, and contractors of such regulated entity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shall establish, implement, and maintain administrative, technical, and physical data security practices that, at a minimum, satisfy reasonable standard of care within the regulated entity's industry to protect the confidentiality, integrity, and accessibility of consumer health data appropriate to the volume and nature of the personal data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processor may process consumer health data only pursuant to a binding contract between the processor and the regulated entity that sets forth the processing instructions and limit the actions the processor may take with respect to the consumer health data it processes on behalf of the regulated entity.</w:t>
      </w:r>
    </w:p>
    <w:p>
      <w:pPr>
        <w:spacing w:before="0" w:after="0" w:line="408" w:lineRule="exact"/>
        <w:ind w:left="0" w:right="0" w:firstLine="576"/>
        <w:jc w:val="left"/>
      </w:pPr>
      <w:r>
        <w:rPr/>
        <w:t xml:space="preserve">(b) A processor may process consumer health data only in a manner that is consistent with the binding instructions set forth in the contract with the regulated entity.</w:t>
      </w:r>
    </w:p>
    <w:p>
      <w:pPr>
        <w:spacing w:before="0" w:after="0" w:line="408" w:lineRule="exact"/>
        <w:ind w:left="0" w:right="0" w:firstLine="576"/>
        <w:jc w:val="left"/>
      </w:pPr>
      <w:r>
        <w:rPr/>
        <w:t xml:space="preserve">(2) A processor shall assist the regulated entity by appropriate technical and organizational measures, insofar as this is possible, in fulfilling the regulated entity's obligations under this chapter.</w:t>
      </w:r>
    </w:p>
    <w:p>
      <w:pPr>
        <w:spacing w:before="0" w:after="0" w:line="408" w:lineRule="exact"/>
        <w:ind w:left="0" w:right="0" w:firstLine="576"/>
        <w:jc w:val="left"/>
      </w:pPr>
      <w:r>
        <w:rPr/>
        <w:t xml:space="preserve">(3) If a processor fails to adhere to the regulated entity's instructions or processes consumer health data in a manner that is outside the scope of the processor's contract with the regulated entity, the processor is considered a regulated entity with regard to such data and is subject to all the requirements of this chapter with regard to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 sell or offer to sell consumer health data concerning a consumer without first obtaining valid authorization from the consumer. The sale of consumer health data must be consistent with the valid authorization signed by the consumer.</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 entity that provides in-person health care services where such geofence is used to: (1) Identify or track consumers seeking health care services; (2) collect consumer health data from consumers; or (3) send notifications, messages, or advertisements to consumers related to their consumer health data or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actions brought by the attorney general to enforce this chapter,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Any consumer injured by a violation of this chapter may bring an action under chapter 19.86 RCW, but must establish all required elements of an action under chapter 19.86 RCW before relief may be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 or</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Identifiable data collected, used, or disclosed in accordance with chapter 43.371 RCW.</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and processors under this chapter does not restrict a regulated entity's or processor's ability for collection, use, or disclosure of consumer health data to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(4) If a regulated entity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1c60d77e7bf245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dafe53fe4478c" /><Relationship Type="http://schemas.openxmlformats.org/officeDocument/2006/relationships/footer" Target="/word/footer1.xml" Id="R1c60d77e7bf2457c" /></Relationships>
</file>