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3906b33bfc430d" /></Relationships>
</file>

<file path=word/document.xml><?xml version="1.0" encoding="utf-8"?>
<w:document xmlns:w="http://schemas.openxmlformats.org/wordprocessingml/2006/main">
  <w:body>
    <w:p>
      <w:r>
        <w:t>H-0716.1</w:t>
      </w:r>
    </w:p>
    <w:p>
      <w:pPr>
        <w:jc w:val="center"/>
      </w:pPr>
      <w:r>
        <w:t>_______________________________________________</w:t>
      </w:r>
    </w:p>
    <w:p/>
    <w:p>
      <w:pPr>
        <w:jc w:val="center"/>
      </w:pPr>
      <w:r>
        <w:rPr>
          <w:b/>
        </w:rPr>
        <w:t>SUBSTITUTE HOUSE BILL 1168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Simmons, Ramel, Callan, Wylie, Davis,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prevention services, diagnoses, treatment, and support for prenatal substance exposure; amending RCW 71.24.610; adding a new section to chapter 43.216 RCW; adding new sections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January 1, 2024, the department shall contract with a provider with expertise in comprehensive prenatal substance exposure treatment and family supports to offer services to children over the age of three and families who are or have been involved in the child welfare system or who are at risk of becoming involved in the child welfare system. This contract shall maximize the number of families that can be served through referrals by department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department shall contract with a minimum of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may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department shall contract with a Washington-based nonprofit entity with expertise in offering trauma-informed, comprehensive prenatal substance exposure treatment and family supports for children, including family and caregiver supports, to support the providers under contract in subsection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department shall work with the contracted providers and families to collect relevant outcome data and provide a report on the expansion of services under the contracts and the outcomes experienced by persons receiving services under this section. The department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hold at least six stakeholder meetings and shall collaborate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youth, and adults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youth, and adults,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u w:val="single"/>
        </w:rPr>
        <w:t xml:space="preserve">(1)</w:t>
      </w:r>
      <w:r>
        <w:rPr/>
        <w:t xml:space="preserve"> 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u w:val="single"/>
        </w:rPr>
        <w:t xml:space="preserve">(2)</w:t>
      </w:r>
      <w:r>
        <w:rPr/>
        <w:t xml:space="preserve"> The interagency agreement shall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 process for community advocacy groups to participate in the review and development of identification, prevention, and intervention programs administered or contracted for by the agencies executing this agreement</w:t>
      </w:r>
      <w:r>
        <w:rPr>
          <w:u w:val="single"/>
        </w:rPr>
        <w:t xml:space="preserve">; and</w:t>
      </w:r>
    </w:p>
    <w:p>
      <w:pPr>
        <w:spacing w:before="0" w:after="0" w:line="408" w:lineRule="exact"/>
        <w:ind w:left="0" w:right="0" w:firstLine="576"/>
        <w:jc w:val="left"/>
      </w:pPr>
      <w:r>
        <w:rPr>
          <w:u w:val="single"/>
        </w:rPr>
        <w:t xml:space="preserve">(b) Require the agencies to collaborate with community advocacy groups, impacted individuals and families, and experts in fetal alcohol exposure or other prenatal substance exposures to adopt a strategic plan to increase prevention efforts related to fetal alcohol exposure and other prenatal substance exposures and expand the availability of treatment, services, and supports for fetal alcohol exposure and other prenatal substance exposures. The strategic plan shall include recommendations to the legislature regarding topics covered by the strategic plan as related to each agency that is a party to the interagency agreement. The authority shall submit a preliminary plan to the relevant committees of the legislature by July 1, 2024, and the final strategic plan by July 1, 2025</w:t>
      </w:r>
      <w:r>
        <w:rPr/>
        <w:t xml:space="preserve">.</w:t>
      </w:r>
    </w:p>
    <w:p/>
    <w:p>
      <w:pPr>
        <w:jc w:val="center"/>
      </w:pPr>
      <w:r>
        <w:rPr>
          <w:b/>
        </w:rPr>
        <w:t>--- END ---</w:t>
      </w:r>
    </w:p>
    <w:sectPr>
      <w:pgNumType w:start="1"/>
      <w:footerReference xmlns:r="http://schemas.openxmlformats.org/officeDocument/2006/relationships" r:id="Ra296b98a390c40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b7d4d5ef04e59" /><Relationship Type="http://schemas.openxmlformats.org/officeDocument/2006/relationships/footer" Target="/word/footer1.xml" Id="Ra296b98a390c40e7" /></Relationships>
</file>