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7f3dad2f34817" /></Relationships>
</file>

<file path=word/document.xml><?xml version="1.0" encoding="utf-8"?>
<w:document xmlns:w="http://schemas.openxmlformats.org/wordprocessingml/2006/main">
  <w:body>
    <w:p>
      <w:r>
        <w:t>Z-0180.1</w:t>
      </w:r>
    </w:p>
    <w:p>
      <w:pPr>
        <w:jc w:val="center"/>
      </w:pPr>
      <w:r>
        <w:t>_______________________________________________</w:t>
      </w:r>
    </w:p>
    <w:p/>
    <w:p>
      <w:pPr>
        <w:jc w:val="center"/>
      </w:pPr>
      <w:r>
        <w:rPr>
          <w:b/>
        </w:rPr>
        <w:t>HOUSE BILL 1181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Duerr, Fitzgibbon, Berry, Peterson, Ryu, Alvarado, Taylor, Reed, Walen, Bateman, Ramel, Goodman, Doglio, Macri, Callan, Simmons, Lekanoff, Gregerson, Bergquist, Stonier, Pollet, Davis, Kloba, Riccelli, Mena, and Tharinger; by request of Office of the Governor</w:t>
      </w:r>
    </w:p>
    <w:p/>
    <w:p>
      <w:r>
        <w:rPr>
          <w:t xml:space="preserve">Prefiled 01/06/23.</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planning framework; amending RCW 36.70A.020, 36.70A.480, 36.70A.320, 36.70A.190, 86.12.200, and 36.70A.030; reenacting and amending RCW 36.70A.070 and 36.70A.130; adding new sections to chapter 36.70A RCW; adding a new section to chapter 70A.45 RCW; adding a new section to chapter 47.80 RCW; adding a new section to chapter 90.58 RCW;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reducing residential development pressure in the wildland urban interface area, creating open space buffers between human development and wildfire prone landscapes, and protecting existing residential development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in overburdened communities in order to maximize the cobenefits of reduced air pollution and environmental justice consistent with chapter 70A.02 RCW.</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overburdened communities as defined in chapter 70A.02 RCW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in overburdened communities as defined in RCW 70A.02.010,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For the jurisdictions set forth in section 4 of this act, updates to comprehensive plans and related development regulations made during the update cycle that begins in 2024 must adopt measures identified by the department pursuant to section 5 of this act that are likely to result in reductions of greenhouse gas emissions and per capita vehicle miles traveled.</w:t>
      </w:r>
    </w:p>
    <w:p>
      <w:pPr>
        <w:spacing w:before="0" w:after="0" w:line="408" w:lineRule="exact"/>
        <w:ind w:left="0" w:right="0" w:firstLine="576"/>
        <w:jc w:val="left"/>
      </w:pPr>
      <w:r>
        <w:rPr>
          <w:u w:val="single"/>
        </w:rPr>
        <w:t xml:space="preserve">(g) The adoption of ordinances, amendments to comprehensive plans, amendments to development regulations, and other nonproject actions taken by a county or city pursuant to (d) or (f)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or (b)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of at least 100,000; or</w:t>
      </w:r>
    </w:p>
    <w:p>
      <w:pPr>
        <w:spacing w:before="0" w:after="0" w:line="408" w:lineRule="exact"/>
        <w:ind w:left="0" w:right="0" w:firstLine="576"/>
        <w:jc w:val="left"/>
      </w:pPr>
      <w:r>
        <w:rPr/>
        <w:t xml:space="preserve">(b) A county with a population density of at least 75 people per square mile and an annual growth rate of at least 1.75 percent.</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April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have available to them to take through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reductions in overburdened communities as defined in RCW 70A.02.010,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using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 as defined in RCW 70A.02.010.</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four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2022,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zoned housing capacity.</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zoned housing capacity.</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housing diversity and that assist counties and cities in meeting greenhouse gas emissions reduction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(3)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(i) Review the issues identified by the public, interested parties, groups, and agencies; and (ii)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(4)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(5)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(6)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(7)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(f)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(a) The amendments to RCW 36.70A.070 set forth in this act; and (b) the updated shoreline master program guidelines adopted pursuant to section 10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10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built structures, and management practices at multiple scales that manage wet weather and that maintain and restore natural hydrology by storing, infiltrating, evapotranspiring, and harvesting and using stormwater.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incorporate a climate change and resiliency element into its comprehensive plan as part of the first implementation progress report required by subsection (9) of this section.</w:t>
      </w:r>
    </w:p>
    <w:p/>
    <w:p>
      <w:pPr>
        <w:jc w:val="center"/>
      </w:pPr>
      <w:r>
        <w:rPr>
          <w:b/>
        </w:rPr>
        <w:t>--- END ---</w:t>
      </w:r>
    </w:p>
    <w:sectPr>
      <w:pgNumType w:start="1"/>
      <w:footerReference xmlns:r="http://schemas.openxmlformats.org/officeDocument/2006/relationships" r:id="Ra86c646dd30945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051055668c44a1" /><Relationship Type="http://schemas.openxmlformats.org/officeDocument/2006/relationships/footer" Target="/word/footer1.xml" Id="Ra86c646dd3094518" /></Relationships>
</file>