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9c441569e43dc" /></Relationships>
</file>

<file path=word/document.xml><?xml version="1.0" encoding="utf-8"?>
<w:document xmlns:w="http://schemas.openxmlformats.org/wordprocessingml/2006/main">
  <w:body>
    <w:p>
      <w:r>
        <w:t>H-0228.2</w:t>
      </w:r>
    </w:p>
    <w:p>
      <w:pPr>
        <w:jc w:val="center"/>
      </w:pPr>
      <w:r>
        <w:t>_______________________________________________</w:t>
      </w:r>
    </w:p>
    <w:p/>
    <w:p>
      <w:pPr>
        <w:jc w:val="center"/>
      </w:pPr>
      <w:r>
        <w:rPr>
          <w:b/>
        </w:rPr>
        <w:t>HOUSE BILL 1190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Sandlin, Abbarno, Goehner, and Barnard</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leadership through outdoor recreation and climate adaptation investments; amending RCW 70A.65.250 and 70A.65.305; reenacting and amending RCW 70A.65.030, 70A.65.040, and 70A.65.230; adding a new section to chapter 70A.65 RCW; creating a new section; and repealing RCW 70A.65.260 and 70A.65.270.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revenue from the climate commitment act to fund outdoor recreation and climate adaptation.</w:t>
      </w:r>
    </w:p>
    <w:p>
      <w:pPr>
        <w:spacing w:before="0" w:after="0" w:line="408" w:lineRule="exact"/>
        <w:ind w:left="0" w:right="0" w:firstLine="576"/>
        <w:jc w:val="left"/>
      </w:pPr>
      <w:r>
        <w:rPr/>
        <w:t xml:space="preserve">The legislature finds that carbon dioxide is both persistent and dynamic in the earth's atmosphere. Since 1850, nearly 40 percent of the total 2,504,000,000,000 metric tons of carbon dioxide emissions released from burning of both fossil fuels and forests have been absorbed by the ocean and terrestrial biome. The legislature recognizes the reality that the impacts of legacy emissions cannot be contained by cutting emissions alone. The legislature intends to optimize the potential of Washington's natural environment to absorb and sequester carbon dioxide emissions by improving the health and resiliency of its forests and inland seas. The legislature intends for these adaptation and resilience investments to be in addition to planned investments to reduce the use of fossil fuels. Combining the power of landscape scale improvements to the health of our natural environment while also incentivizing the development of new energy technologies, Washington can be a leader in effective public policy responses to climate impacts.</w:t>
      </w:r>
    </w:p>
    <w:p>
      <w:pPr>
        <w:spacing w:before="0" w:after="0" w:line="408" w:lineRule="exact"/>
        <w:ind w:left="0" w:right="0" w:firstLine="576"/>
        <w:jc w:val="left"/>
      </w:pPr>
      <w:r>
        <w:rPr/>
        <w:t xml:space="preserve">The legislature recognizes that higher concentrations of carbon dioxide in the earth's atmosphere will persist and will take over 1,000 years to be incorporated into the ocean and land ecosystems. Warmer and wetter conditions on land will assist in developing more robust farming and forest ecosystems. Longer growing seasons will allow more effective adaptive measures in farming and forestry to increase the carbon capture capacity of the terrestrial environment. The legislature can provide permanent funding for the forest health initiative and invest in new and innovative mills to create a forest products industry that utilizes the small diameter trees and undergrowth that are choking our forests. These investments will provide strong, long-term incentives to manage forest health and reduce emissions from catastrophic wildfires.</w:t>
      </w:r>
    </w:p>
    <w:p>
      <w:pPr>
        <w:spacing w:before="0" w:after="0" w:line="408" w:lineRule="exact"/>
        <w:ind w:left="0" w:right="0" w:firstLine="576"/>
        <w:jc w:val="left"/>
      </w:pPr>
      <w:r>
        <w:rPr/>
        <w:t xml:space="preserve">The legislature finds that both urban heat island effect and greenhouse gas emissions are creating impacts on land surface temperatures in Washington. The impact of this new reality requires prioritized public investment to offset the detrimental environmental impacts of deep urbanization and the excess heat absorption of built spaces. Investments in wastewater and stormwater infrastructure will improve water quality in Puget Sound, which is needed to correct the hypoxic condition in Puget Sound, and will result in the reduction of methane and nitrogen oxides emissions and a reduction in greenhouse gases that are less persistent but substantially more potent.</w:t>
      </w:r>
    </w:p>
    <w:p>
      <w:pPr>
        <w:spacing w:before="0" w:after="0" w:line="408" w:lineRule="exact"/>
        <w:ind w:left="0" w:right="0" w:firstLine="576"/>
        <w:jc w:val="left"/>
      </w:pPr>
      <w:r>
        <w:rPr/>
        <w:t xml:space="preserve">Rainfall patterns will continue to change and will require investments in infrastructure to store and deliver water for irrigated agriculture. High rainfall events west of the Cascade crest will require both storage capacity and green and gray infrastructure investments to protect from catastrophic loss of life and property. These investments must be appropriately coordinated with our Canadian counterparts that share Washington state rivers.</w:t>
      </w:r>
    </w:p>
    <w:p>
      <w:pPr>
        <w:spacing w:before="0" w:after="0" w:line="408" w:lineRule="exact"/>
        <w:ind w:left="0" w:right="0" w:firstLine="576"/>
        <w:jc w:val="left"/>
      </w:pPr>
      <w:r>
        <w:rPr/>
        <w:t xml:space="preserve">By investing in our naturehood, we provide an opportunity for a significant expansion of outdoor recreation facilities, including additional camping, wildlife and waterfowl habitat viewing, and beaches and trails accessible to urban and suburban population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outdoor recreation and climate adaptation account is created in the state treasury. The account must receive moneys distributed to the account from the climate investment account created in RCW 70A.65.250. Moneys in the account may be spent only after appropriation. Expenditures from the account are intended to enhance outdoor recreation and to contribute to climate change adaptation by investing in forest health, drought resilience, flood risk mitigation, and Puget Sound recovery and water quality. The criteria of RCW 70A.65.250(1)(b) apply to expenditures from the outdoor recreation and climate adaptation account. Moneys in the account must be used for the following purposes:</w:t>
      </w:r>
    </w:p>
    <w:p>
      <w:pPr>
        <w:spacing w:before="0" w:after="0" w:line="408" w:lineRule="exact"/>
        <w:ind w:left="0" w:right="0" w:firstLine="576"/>
        <w:jc w:val="left"/>
      </w:pPr>
      <w:r>
        <w:rPr/>
        <w:t xml:space="preserve">(1) Forest health investments that contribute to climate change adaptation. Funding under this subsection must be used:</w:t>
      </w:r>
    </w:p>
    <w:p>
      <w:pPr>
        <w:spacing w:before="0" w:after="0" w:line="408" w:lineRule="exact"/>
        <w:ind w:left="0" w:right="0" w:firstLine="576"/>
        <w:jc w:val="left"/>
      </w:pPr>
      <w:r>
        <w:rPr/>
        <w:t xml:space="preserve">(a) To address long-term forest health and the reduction of wildfire dangers. In recognition of the significant greenhouse gas emissions from wildfires as calculated by the department of natural resources consistent with RCW 70A.45.020, and the statewide air quality impacts associated with wildfires, the state treasurer must transfer a total of $125,000,000 each biennium, provided such sums are available in the account, in installments of $15,625,000 on July 1st, October 1st, January 1st, and April 1st of each year, from the account created in this section into the wildfire response, forest restoration, and community resilience account established in RCW 76.04.511 to carry out the purposes of chapter 298, Laws of 2021;</w:t>
      </w:r>
    </w:p>
    <w:p>
      <w:pPr>
        <w:spacing w:before="0" w:after="0" w:line="408" w:lineRule="exact"/>
        <w:ind w:left="0" w:right="0" w:firstLine="576"/>
        <w:jc w:val="left"/>
      </w:pPr>
      <w:r>
        <w:rPr/>
        <w:t xml:space="preserve">(b) For grants and loans to small forestland owners for activities that increase carbon sequestration;</w:t>
      </w:r>
    </w:p>
    <w:p>
      <w:pPr>
        <w:spacing w:before="0" w:after="0" w:line="408" w:lineRule="exact"/>
        <w:ind w:left="0" w:right="0" w:firstLine="576"/>
        <w:jc w:val="left"/>
      </w:pPr>
      <w:r>
        <w:rPr/>
        <w:t xml:space="preserve">(c) For purposes of the forestry riparian easement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(d) For the purposes of the family forest fish passage program, created pursuant to RCW 76.13.150; or</w:t>
      </w:r>
    </w:p>
    <w:p>
      <w:pPr>
        <w:spacing w:before="0" w:after="0" w:line="408" w:lineRule="exact"/>
        <w:ind w:left="0" w:right="0" w:firstLine="576"/>
        <w:jc w:val="left"/>
      </w:pPr>
      <w:r>
        <w:rPr/>
        <w:t xml:space="preserve">(e) To provide grants under a new grant program that invests in the institutions and infrastructure that make timber and farming towns sustainable and vibrant. The new grant program must be administered by the community economic revitalization board;</w:t>
      </w:r>
    </w:p>
    <w:p>
      <w:pPr>
        <w:spacing w:before="0" w:after="0" w:line="408" w:lineRule="exact"/>
        <w:ind w:left="0" w:right="0" w:firstLine="576"/>
        <w:jc w:val="left"/>
      </w:pPr>
      <w:r>
        <w:rPr/>
        <w:t xml:space="preserve">(2) Drought resilience investments that contribute to climate change adaptation. Funding under this subsection must be transferred to the state drought preparedness and response account established in RCW 43.83B.430;</w:t>
      </w:r>
    </w:p>
    <w:p>
      <w:pPr>
        <w:spacing w:before="0" w:after="0" w:line="408" w:lineRule="exact"/>
        <w:ind w:left="0" w:right="0" w:firstLine="576"/>
        <w:jc w:val="left"/>
      </w:pPr>
      <w:r>
        <w:rPr/>
        <w:t xml:space="preserve">(3) Flood risk mitigation investments that contribute to climate change adaptation. Funding under this subsection must be used to:</w:t>
      </w:r>
    </w:p>
    <w:p>
      <w:pPr>
        <w:spacing w:before="0" w:after="0" w:line="408" w:lineRule="exact"/>
        <w:ind w:left="0" w:right="0" w:firstLine="576"/>
        <w:jc w:val="left"/>
      </w:pPr>
      <w:r>
        <w:rPr/>
        <w:t xml:space="preserve">(a) Reduce flood damage and improve aquatic species' habitat in the basins most at risk of catastrophic flooding;</w:t>
      </w:r>
    </w:p>
    <w:p>
      <w:pPr>
        <w:spacing w:before="0" w:after="0" w:line="408" w:lineRule="exact"/>
        <w:ind w:left="0" w:right="0" w:firstLine="576"/>
        <w:jc w:val="left"/>
      </w:pPr>
      <w:r>
        <w:rPr/>
        <w:t xml:space="preserve">(b) Fund established flood control authorities to improve floodplains and flood protection infrastructure; or</w:t>
      </w:r>
    </w:p>
    <w:p>
      <w:pPr>
        <w:spacing w:before="0" w:after="0" w:line="408" w:lineRule="exact"/>
        <w:ind w:left="0" w:right="0" w:firstLine="576"/>
        <w:jc w:val="left"/>
      </w:pPr>
      <w:r>
        <w:rPr/>
        <w:t xml:space="preserve">(c) Fund sustainable water supply projects that will secure the agricultural industry against the risks of a changing climate;</w:t>
      </w:r>
    </w:p>
    <w:p>
      <w:pPr>
        <w:spacing w:before="0" w:after="0" w:line="408" w:lineRule="exact"/>
        <w:ind w:left="0" w:right="0" w:firstLine="576"/>
        <w:jc w:val="left"/>
      </w:pPr>
      <w:r>
        <w:rPr/>
        <w:t xml:space="preserve">(4) Puget Sound water quality investments, including assistance to regulated entities for upgrading pollution controls required by state permits;</w:t>
      </w:r>
    </w:p>
    <w:p>
      <w:pPr>
        <w:spacing w:before="0" w:after="0" w:line="408" w:lineRule="exact"/>
        <w:ind w:left="0" w:right="0" w:firstLine="576"/>
        <w:jc w:val="left"/>
      </w:pPr>
      <w:r>
        <w:rPr/>
        <w:t xml:space="preserve">(5) Outdoor recreation enhancement and amenities, including the support and expansion of state and local outdoor recreation programs, activities, and infrastructure funded through the state parks and recreation commission, department of fish and wildlife, department of natural resources, and the recreation and conservation office;</w:t>
      </w:r>
    </w:p>
    <w:p>
      <w:pPr>
        <w:spacing w:before="0" w:after="0" w:line="408" w:lineRule="exact"/>
        <w:ind w:left="0" w:right="0" w:firstLine="576"/>
        <w:jc w:val="left"/>
      </w:pPr>
      <w:r>
        <w:rPr/>
        <w:t xml:space="preserve">(6) Grants to support marinas in compliance with the environment protecting measures in aquatic lands or water quality permits;</w:t>
      </w:r>
    </w:p>
    <w:p>
      <w:pPr>
        <w:spacing w:before="0" w:after="0" w:line="408" w:lineRule="exact"/>
        <w:ind w:left="0" w:right="0" w:firstLine="576"/>
        <w:jc w:val="left"/>
      </w:pPr>
      <w:r>
        <w:rPr/>
        <w:t xml:space="preserve">(7) Grants for the replacement or addition of buoys at locations that appropriately balance environmental protection and the needs of on-water recreation;</w:t>
      </w:r>
    </w:p>
    <w:p>
      <w:pPr>
        <w:spacing w:before="0" w:after="0" w:line="408" w:lineRule="exact"/>
        <w:ind w:left="0" w:right="0" w:firstLine="576"/>
        <w:jc w:val="left"/>
      </w:pPr>
      <w:r>
        <w:rPr/>
        <w:t xml:space="preserve">(8) Grants to improve equitable access to local trails and connectivity of local trails to parks and regional trail networks;</w:t>
      </w:r>
    </w:p>
    <w:p>
      <w:pPr>
        <w:spacing w:before="0" w:after="0" w:line="408" w:lineRule="exact"/>
        <w:ind w:left="0" w:right="0" w:firstLine="576"/>
        <w:jc w:val="left"/>
      </w:pPr>
      <w:r>
        <w:rPr/>
        <w:t xml:space="preserve">(9) Stormwater investments that are helpful to salmon survival;</w:t>
      </w:r>
    </w:p>
    <w:p>
      <w:pPr>
        <w:spacing w:before="0" w:after="0" w:line="408" w:lineRule="exact"/>
        <w:ind w:left="0" w:right="0" w:firstLine="576"/>
        <w:jc w:val="left"/>
      </w:pPr>
      <w:r>
        <w:rPr/>
        <w:t xml:space="preserve">(10)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created in this section for the purposes of this subsection; and</w:t>
      </w:r>
    </w:p>
    <w:p>
      <w:pPr>
        <w:spacing w:before="0" w:after="0" w:line="408" w:lineRule="exact"/>
        <w:ind w:left="0" w:right="0" w:firstLine="576"/>
        <w:jc w:val="left"/>
      </w:pPr>
      <w:r>
        <w:rPr/>
        <w:t xml:space="preserve">(11) Decarbonization of medium and heavy duty vehicles in a technology-neutral way. The legislature intends to dedicate at least $50,000,000 per biennium from the account created in this section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w:t>
      </w:r>
      <w:r>
        <w:t>((</w:t>
      </w:r>
      <w:r>
        <w:rPr>
          <w:strike/>
        </w:rPr>
        <w:t xml:space="preserve">climate commitment account created in RCW 70A.65.260, the natural climate solutions account created in RCW 70A.65.270</w:t>
      </w:r>
      <w:r>
        <w:t>))</w:t>
      </w:r>
      <w:r>
        <w:rPr/>
        <w:t xml:space="preserve"> </w:t>
      </w:r>
      <w:r>
        <w:rPr>
          <w:u w:val="single"/>
        </w:rPr>
        <w:t xml:space="preserve">outdoor recreation and climate adaptation account created in section 2 of this act</w:t>
      </w:r>
      <w:r>
        <w:rPr/>
        <w:t xml:space="preserve">,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w:t>
      </w:r>
      <w:r>
        <w:t>((</w:t>
      </w:r>
      <w:r>
        <w:rPr>
          <w:strike/>
        </w:rPr>
        <w:t xml:space="preserve">climate commitment account created in RCW 70A.65.260, the natural climate solutions account created in RCW 70A.65.270</w:t>
      </w:r>
      <w:r>
        <w:t>))</w:t>
      </w:r>
      <w:r>
        <w:rPr/>
        <w:t xml:space="preserve"> </w:t>
      </w:r>
      <w:r>
        <w:rPr>
          <w:u w:val="single"/>
        </w:rPr>
        <w:t xml:space="preserve">outdoor recreation and climate adaptation account created in section 2 of this act</w:t>
      </w:r>
      <w:r>
        <w:rPr/>
        <w:t xml:space="preserve">,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2022 c 182 s 105 and 2022 c 181 s 14 are each reenacted and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the </w:t>
      </w:r>
      <w:r>
        <w:t>((</w:t>
      </w:r>
      <w:r>
        <w:rPr>
          <w:strike/>
        </w:rPr>
        <w:t xml:space="preserve">climate commitment account created in RCW 70A.65.260, the natural climate solutions account created in RCW 70A.65.270</w:t>
      </w:r>
      <w:r>
        <w:t>))</w:t>
      </w:r>
      <w:r>
        <w:rPr/>
        <w:t xml:space="preserve"> </w:t>
      </w:r>
      <w:r>
        <w:rPr>
          <w:u w:val="single"/>
        </w:rPr>
        <w:t xml:space="preserve">outdoor recreation and climate adaptation account created in section 2 of this act</w:t>
      </w:r>
      <w:r>
        <w:rPr/>
        <w:t xml:space="preserve">, the climate investment account created in RCW 70A.65.250, the climate transit programs account created in RCW 46.68.500, and the climate active transportation account created in RCW 46.68.490.</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2022 c 182 s 426 and 2022 c 181 s 8 are each reenacted and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w:t>
      </w:r>
      <w:r>
        <w:t>((</w:t>
      </w:r>
      <w:r>
        <w:rPr>
          <w:strike/>
        </w:rPr>
        <w:t xml:space="preserve">climate commitment account created in RCW 70A.65.260, the natural climate solutions account created in RCW 70A.65.270</w:t>
      </w:r>
      <w:r>
        <w:t>))</w:t>
      </w:r>
      <w:r>
        <w:rPr/>
        <w:t xml:space="preserve"> </w:t>
      </w:r>
      <w:r>
        <w:rPr>
          <w:u w:val="single"/>
        </w:rPr>
        <w:t xml:space="preserve">outdoor recreation and climate adaptation account created in section 2 of this act</w:t>
      </w:r>
      <w:r>
        <w:rPr/>
        <w:t xml:space="preserve">, the air quality and health disparities improvement account created in RCW 70A.65.280, the climate transit programs account created in RCW 46.68.500, and the climate active transportation account created in RCW 46.68.490,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70A.02 RCW;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overburdened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overburdened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that exceed the amounts appropriated for the purposes of this subsection (2) </w:t>
      </w:r>
      <w:r>
        <w:t>((</w:t>
      </w:r>
      <w:r>
        <w:rPr>
          <w:strike/>
        </w:rPr>
        <w:t xml:space="preserve">as follows:</w:t>
      </w:r>
    </w:p>
    <w:p>
      <w:pPr>
        <w:spacing w:before="0" w:after="0" w:line="408" w:lineRule="exact"/>
        <w:ind w:left="0" w:right="0" w:firstLine="576"/>
        <w:jc w:val="left"/>
      </w:pPr>
      <w:r>
        <w:rPr>
          <w:strike/>
        </w:rPr>
        <w:t xml:space="preserve">(a) Seventy-five percent of the moneys to the climate commitment account created in RCW 70A.65.260; and</w:t>
      </w:r>
    </w:p>
    <w:p>
      <w:pPr>
        <w:spacing w:before="0" w:after="0" w:line="408" w:lineRule="exact"/>
        <w:ind w:left="0" w:right="0" w:firstLine="576"/>
        <w:jc w:val="left"/>
      </w:pPr>
      <w:r>
        <w:rPr>
          <w:strike/>
        </w:rPr>
        <w:t xml:space="preserve">(b) Twenty-five percent of the moneys to the natural climate solutions account created in RCW 70A.65.270.</w:t>
      </w:r>
    </w:p>
    <w:p>
      <w:pPr>
        <w:spacing w:before="0" w:after="0" w:line="408" w:lineRule="exact"/>
        <w:ind w:left="0" w:right="0" w:firstLine="576"/>
        <w:jc w:val="left"/>
      </w:pPr>
      <w:r>
        <w:rPr>
          <w:strike/>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r>
        <w:t>))</w:t>
      </w:r>
      <w:r>
        <w:rPr/>
        <w:t xml:space="preserve"> </w:t>
      </w:r>
      <w:r>
        <w:rPr>
          <w:u w:val="single"/>
        </w:rPr>
        <w:t xml:space="preserve">to the outdoor recreation and climate adaptation account created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w:t>
      </w:r>
      <w:r>
        <w:t>((</w:t>
      </w:r>
      <w:r>
        <w:rPr>
          <w:strike/>
        </w:rPr>
        <w:t xml:space="preserve">, the climate commitment account created in RCW 70A.65.260, and the natural climate solutions account created in RCW 70A.65.270</w:t>
      </w:r>
      <w:r>
        <w:t>))</w:t>
      </w:r>
      <w:r>
        <w:rPr/>
        <w:t xml:space="preserve"> </w:t>
      </w:r>
      <w:r>
        <w:rPr>
          <w:u w:val="single"/>
        </w:rPr>
        <w:t xml:space="preserve">and the outdoor recreation and climate adaptation account created in section 2 of this act</w:t>
      </w:r>
      <w:r>
        <w:rPr/>
        <w:t xml:space="preserve">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w:t>
      </w:r>
      <w:r>
        <w:t>((</w:t>
      </w:r>
      <w:r>
        <w:rPr>
          <w:strike/>
        </w:rPr>
        <w:t xml:space="preserve">, 70A.65.260, and 70A.65.270</w:t>
      </w:r>
      <w:r>
        <w:t>))</w:t>
      </w:r>
      <w:r>
        <w:rPr/>
        <w:t xml:space="preserve"> </w:t>
      </w:r>
      <w:r>
        <w:rPr>
          <w:u w:val="single"/>
        </w:rPr>
        <w:t xml:space="preserve">and section 2 of this act</w:t>
      </w:r>
      <w:r>
        <w:rPr/>
        <w:t xml:space="preserve"> shall engage in a preapplication process with all affected federally recognized tribes within the project area.</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w:t>
      </w:r>
      <w:r>
        <w:t>((</w:t>
      </w:r>
      <w:r>
        <w:rPr>
          <w:strike/>
        </w:rPr>
        <w:t xml:space="preserve">, 70A.65.260, and 70A.65.270</w:t>
      </w:r>
      <w:r>
        <w:t>))</w:t>
      </w:r>
      <w:r>
        <w:rPr/>
        <w:t xml:space="preserve"> </w:t>
      </w:r>
      <w:r>
        <w:rPr>
          <w:u w:val="single"/>
        </w:rPr>
        <w:t xml:space="preserve">and section 2 of this act</w:t>
      </w:r>
      <w:r>
        <w:rPr/>
        <w:t xml:space="preserve">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w:t>
      </w:r>
      <w:r>
        <w:t>((</w:t>
      </w:r>
      <w:r>
        <w:rPr>
          <w:strike/>
        </w:rPr>
        <w:t xml:space="preserve">, 70A.65.260, and 70A.65.270,</w:t>
      </w:r>
      <w:r>
        <w:t>))</w:t>
      </w:r>
      <w:r>
        <w:rPr/>
        <w:t xml:space="preserve"> </w:t>
      </w:r>
      <w:r>
        <w:rPr>
          <w:u w:val="single"/>
        </w:rPr>
        <w:t xml:space="preserve">and section 2 of this act</w:t>
      </w:r>
      <w:r>
        <w:rPr/>
        <w:t xml:space="preserve">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70A</w:t>
      </w:r>
      <w:r>
        <w:rPr/>
        <w:t xml:space="preserve">.</w:t>
      </w:r>
      <w:r>
        <w:t xml:space="preserve">65</w:t>
      </w:r>
      <w:r>
        <w:rPr/>
        <w:t xml:space="preserve">.</w:t>
      </w:r>
      <w:r>
        <w:t xml:space="preserve">260</w:t>
      </w:r>
      <w:r>
        <w:rPr/>
        <w:t xml:space="preserve"> (Climate commitment account) and 2022 c 179 s 17 &amp; 2021 c 316 s 29; and</w:t>
      </w:r>
    </w:p>
    <w:p>
      <w:pPr>
        <w:spacing w:before="0" w:after="0" w:line="408" w:lineRule="exact"/>
        <w:ind w:left="0" w:right="0" w:firstLine="576"/>
        <w:jc w:val="left"/>
      </w:pPr>
      <w:r>
        <w:t xml:space="preserve">(2) </w:t>
      </w:r>
      <w:r>
        <w:rPr/>
        <w:t xml:space="preserve">RCW </w:t>
      </w:r>
      <w:r>
        <w:t xml:space="preserve">70A</w:t>
      </w:r>
      <w:r>
        <w:rPr/>
        <w:t xml:space="preserve">.</w:t>
      </w:r>
      <w:r>
        <w:t xml:space="preserve">65</w:t>
      </w:r>
      <w:r>
        <w:rPr/>
        <w:t xml:space="preserve">.</w:t>
      </w:r>
      <w:r>
        <w:t xml:space="preserve">270</w:t>
      </w:r>
      <w:r>
        <w:rPr/>
        <w:t xml:space="preserve"> (Natural climate solutions account) and 2021 c 316 s 30.</w:t>
      </w:r>
    </w:p>
    <w:p/>
    <w:p>
      <w:pPr>
        <w:jc w:val="center"/>
      </w:pPr>
      <w:r>
        <w:rPr>
          <w:b/>
        </w:rPr>
        <w:t>--- END ---</w:t>
      </w:r>
    </w:p>
    <w:sectPr>
      <w:pgNumType w:start="1"/>
      <w:footerReference xmlns:r="http://schemas.openxmlformats.org/officeDocument/2006/relationships" r:id="R4c958a140af14f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8ca5f97d35404e" /><Relationship Type="http://schemas.openxmlformats.org/officeDocument/2006/relationships/footer" Target="/word/footer1.xml" Id="R4c958a140af14f31" /></Relationships>
</file>