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30ec4f270483c" /></Relationships>
</file>

<file path=word/document.xml><?xml version="1.0" encoding="utf-8"?>
<w:document xmlns:w="http://schemas.openxmlformats.org/wordprocessingml/2006/main">
  <w:body>
    <w:p>
      <w:r>
        <w:t>H-1285.1</w:t>
      </w:r>
    </w:p>
    <w:p>
      <w:pPr>
        <w:jc w:val="center"/>
      </w:pPr>
      <w:r>
        <w:t>_______________________________________________</w:t>
      </w:r>
    </w:p>
    <w:p/>
    <w:p>
      <w:pPr>
        <w:jc w:val="center"/>
      </w:pPr>
      <w:r>
        <w:rPr>
          <w:b/>
        </w:rPr>
        <w:t>SECOND SUBSTITUTE HOUSE BILL 1204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Eslick, Leavitt, Bateman, Kloba, Reed, Simmons, Doglio, Goodman, Ortiz-Self, McEntire, Davis, and Pollet; by request of Department of Children, Youth, and Families)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w:t>
      </w:r>
      <w:r>
        <w:rPr>
          <w:u w:val="single"/>
        </w:rPr>
        <w:t xml:space="preserve">in any manner determined to be appropriate by the family connections program, including but not limited to a referral</w:t>
      </w:r>
      <w:r>
        <w:rPr/>
        <w:t xml:space="preserve">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caseworker</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(b) An</w:t>
      </w:r>
      <w:r>
        <w:rPr/>
        <w:t xml:space="preserve"> attorney</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(c) A</w:t>
      </w:r>
      <w:r>
        <w:rPr/>
        <w:t xml:space="preserve"> guardian ad litem as defined in RCW 13.34.030</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(d) A</w:t>
      </w:r>
      <w:r>
        <w:rPr/>
        <w:t xml:space="preserve"> parent ally</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(e) An</w:t>
      </w:r>
      <w:r>
        <w:rPr/>
        <w:t xml:space="preserve"> office of public defense social worker</w:t>
      </w:r>
      <w:r>
        <w:t>((</w:t>
      </w:r>
      <w:r>
        <w:rPr>
          <w:strike/>
        </w:rPr>
        <w:t xml:space="preserve">, or the</w:t>
      </w:r>
      <w:r>
        <w:t>))</w:t>
      </w:r>
      <w:r>
        <w:rPr>
          <w:u w:val="single"/>
        </w:rPr>
        <w:t xml:space="preserve">;</w:t>
      </w:r>
    </w:p>
    <w:p>
      <w:pPr>
        <w:spacing w:before="0" w:after="0" w:line="408" w:lineRule="exact"/>
        <w:ind w:left="0" w:right="0" w:firstLine="576"/>
        <w:jc w:val="left"/>
      </w:pPr>
      <w:r>
        <w:rPr>
          <w:u w:val="single"/>
        </w:rPr>
        <w:t xml:space="preserve">(f) The</w:t>
      </w:r>
      <w:r>
        <w:rPr/>
        <w:t xml:space="preserve"> court</w:t>
      </w:r>
      <w:r>
        <w:rPr>
          <w:u w:val="single"/>
        </w:rPr>
        <w:t xml:space="preserve">; or</w:t>
      </w:r>
    </w:p>
    <w:p>
      <w:pPr>
        <w:spacing w:before="0" w:after="0" w:line="408" w:lineRule="exact"/>
        <w:ind w:left="0" w:right="0" w:firstLine="576"/>
        <w:jc w:val="left"/>
      </w:pPr>
      <w:r>
        <w:rPr>
          <w:u w:val="single"/>
        </w:rPr>
        <w:t xml:space="preserve">(g) The parent or caregiver</w:t>
      </w:r>
      <w:r>
        <w:rPr/>
        <w:t xml:space="preserve">.</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3dcae368557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36d813ab9481e" /><Relationship Type="http://schemas.openxmlformats.org/officeDocument/2006/relationships/footer" Target="/word/footer1.xml" Id="R43dcae36855749c1" /></Relationships>
</file>