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0c9bfb33e4912" /></Relationships>
</file>

<file path=word/document.xml><?xml version="1.0" encoding="utf-8"?>
<w:document xmlns:w="http://schemas.openxmlformats.org/wordprocessingml/2006/main">
  <w:body>
    <w:p>
      <w:r>
        <w:t>H-1449.3</w:t>
      </w:r>
    </w:p>
    <w:p>
      <w:pPr>
        <w:jc w:val="center"/>
      </w:pPr>
      <w:r>
        <w:t>_______________________________________________</w:t>
      </w:r>
    </w:p>
    <w:p/>
    <w:p>
      <w:pPr>
        <w:jc w:val="center"/>
      </w:pPr>
      <w:r>
        <w:rPr>
          <w:b/>
        </w:rPr>
        <w:t>SECOND SUBSTITUTE HOUSE BILL 1216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Fitzgibbon, Doglio, Berry, Reed, Simmons, Macri, Fosse, and Pollet;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amending RCW 44.39.010 and 44.39.012; adding new sections to chapter 43.21C RCW; adding a new section to chapter 36.70B RCW; adding a new section to chapter 36.01 RCW; adding new chapters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least-conflict siting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 and</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made from nonpetroleum sources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 and</w:t>
      </w:r>
    </w:p>
    <w:p>
      <w:pPr>
        <w:spacing w:before="0" w:after="0" w:line="408" w:lineRule="exact"/>
        <w:ind w:left="0" w:right="0" w:firstLine="576"/>
        <w:jc w:val="left"/>
      </w:pPr>
      <w:r>
        <w:rPr/>
        <w:t xml:space="preserve">(h)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meaningful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The agreement should include benefits in addition to jobs or tax revenues resulting from the project. Approval of any benefit agreement or other legal document stipulating the benefits that the developer agrees to fund or furnish, in exchange for community support of the project, must be made by the local government legislative authority of the county, city, or town in which the project is proposed.</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or a state agency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In order to encourage greater development and use of renewable energy, a county may not require an application for or the acquisition of any permit for the installation of wind and solar resource evaluation equipment, necessary for a renewable energy project, design, and environmental planning.</w:t>
      </w:r>
    </w:p>
    <w:p>
      <w:pPr>
        <w:spacing w:before="0" w:after="0" w:line="408" w:lineRule="exact"/>
        <w:ind w:left="0" w:right="0" w:firstLine="576"/>
        <w:jc w:val="left"/>
      </w:pPr>
      <w:r>
        <w:rPr/>
        <w:t xml:space="preserve">(2) The activities identified in subsection (1) of this section may be undertaken prior to issuance of discretionary land use permits, including conditional use permits.</w:t>
      </w:r>
    </w:p>
    <w:p>
      <w:pPr>
        <w:spacing w:before="0" w:after="0" w:line="408" w:lineRule="exact"/>
        <w:ind w:left="0" w:right="0" w:firstLine="576"/>
        <w:jc w:val="left"/>
      </w:pPr>
      <w:r>
        <w:rPr/>
        <w:t xml:space="preserve">(3) This section does not apply to activities involving work in water or fill of wetlands.</w:t>
      </w:r>
    </w:p>
    <w:p>
      <w:pPr>
        <w:spacing w:before="0" w:after="0" w:line="408" w:lineRule="exact"/>
        <w:ind w:left="0" w:right="0" w:firstLine="576"/>
        <w:jc w:val="left"/>
      </w:pPr>
      <w:r>
        <w:rPr/>
        <w:t xml:space="preserve">(4) Local critical areas ordinances and state permitting requirements apply to activities in this section.</w:t>
      </w:r>
    </w:p>
    <w:p>
      <w:pPr>
        <w:spacing w:before="0" w:after="0" w:line="408" w:lineRule="exact"/>
        <w:ind w:left="0" w:right="0" w:firstLine="576"/>
        <w:jc w:val="left"/>
      </w:pPr>
      <w:r>
        <w:rPr/>
        <w:t xml:space="preserve">(5) This section applies only to a person who, prior to commencing the activities specified in subsection (1) of this section, has notified the department of archaeology and historic preservation to obtain information on the probability or existence of tribal cultural resources, archaeological sites, and sacred sites within the potential site area. The department of archaeology and historic preservation must provide information to the person carrying out activities described in subsection (1) of this section regarding the names of all potentially affected federally recognized Indian tribes.</w:t>
      </w:r>
    </w:p>
    <w:p>
      <w:pPr>
        <w:spacing w:before="0" w:after="0" w:line="408" w:lineRule="exact"/>
        <w:ind w:left="0" w:right="0" w:firstLine="576"/>
        <w:jc w:val="left"/>
      </w:pPr>
      <w:r>
        <w:rPr/>
        <w:t xml:space="preserve">(6) If, at any point, cultural resources are determined to be present, the site investigation work must cease pursuant to RCW 27.53.060, all necessary permits must be obtained, and the procedures required under RCW 68.50.645 and 27.44.055 must be followed. Failure to comply subjects a person to the appropriate penalties under RCW 27.44.040.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90d30de68bb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eb1b38fe248c4" /><Relationship Type="http://schemas.openxmlformats.org/officeDocument/2006/relationships/footer" Target="/word/footer1.xml" Id="R890d30de68bb4cae" /></Relationships>
</file>