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4c77a9956449d" /></Relationships>
</file>

<file path=word/document.xml><?xml version="1.0" encoding="utf-8"?>
<w:document xmlns:w="http://schemas.openxmlformats.org/wordprocessingml/2006/main">
  <w:body>
    <w:p>
      <w:r>
        <w:t>Z-0078.3</w:t>
      </w:r>
    </w:p>
    <w:p>
      <w:pPr>
        <w:jc w:val="center"/>
      </w:pPr>
      <w:r>
        <w:t>_______________________________________________</w:t>
      </w:r>
    </w:p>
    <w:p/>
    <w:p>
      <w:pPr>
        <w:jc w:val="center"/>
      </w:pPr>
      <w:r>
        <w:rPr>
          <w:b/>
        </w:rPr>
        <w:t>HOUSE BILL 1269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Stonier, and Macri; by request of Health Care Authority</w:t>
      </w:r>
    </w:p>
    <w:p/>
    <w:p>
      <w:r>
        <w:rPr>
          <w:t xml:space="preserve">Read first time 01/12/23.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prescription drug affordability board; and amending RCW 70.405.010, 70.405.020, 70.405.030, 70.405.040, 70.405.050, 70.405.060, 70.405.070, and 70.405.090.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010</w:t>
      </w:r>
      <w:r>
        <w:rPr/>
        <w:t xml:space="preserve"> and 2022 c 153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(6) "Generic drug" has the same meaning as in RCW 69.48.020.</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w:t>
      </w:r>
      <w:r>
        <w:t>((</w:t>
      </w:r>
      <w:r>
        <w:rPr>
          <w:strike/>
        </w:rPr>
        <w:t xml:space="preserve">private label distributor or</w:t>
      </w:r>
      <w:r>
        <w:t>))</w:t>
      </w:r>
      <w:r>
        <w:rPr/>
        <w:t xml:space="preserve"> retail pharmacy that sells a drug under the retail pharmacy's store</w:t>
      </w:r>
      <w:r>
        <w:t>((</w:t>
      </w:r>
      <w:r>
        <w:rPr>
          <w:strike/>
        </w:rPr>
        <w:t xml:space="preserve">, or a prescription drug repackager</w:t>
      </w:r>
      <w:r>
        <w:t>))</w:t>
      </w:r>
      <w:r>
        <w:rPr/>
        <w:t xml:space="preserve">.</w:t>
      </w:r>
    </w:p>
    <w:p>
      <w:pPr>
        <w:spacing w:before="0" w:after="0" w:line="408" w:lineRule="exact"/>
        <w:ind w:left="0" w:right="0" w:firstLine="576"/>
        <w:jc w:val="left"/>
      </w:pPr>
      <w:r>
        <w:rPr/>
        <w:t xml:space="preserve">(9) "Prescription drug" means a drug regulated under chapter 69.41 or 69.50 RCW, including generic, brand name, specialty drugs, and biological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020</w:t>
      </w:r>
      <w:r>
        <w:rPr/>
        <w:t xml:space="preserve"> and 2022 c 153 s 2 are each amended to read as follows:</w:t>
      </w:r>
    </w:p>
    <w:p>
      <w:pPr>
        <w:spacing w:before="0" w:after="0" w:line="408" w:lineRule="exact"/>
        <w:ind w:left="0" w:right="0" w:firstLine="576"/>
        <w:jc w:val="left"/>
      </w:pP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w:t>
      </w:r>
      <w:r>
        <w:rPr>
          <w:u w:val="single"/>
        </w:rPr>
        <w:t xml:space="preserve">(a) The governor shall appoint the initial members of the board to serve staggered terms not to exceed five years.</w:t>
      </w:r>
      <w:r>
        <w:rPr/>
        <w:t xml:space="preserve"> Board members </w:t>
      </w:r>
      <w:r>
        <w:rPr>
          <w:u w:val="single"/>
        </w:rPr>
        <w:t xml:space="preserve">appointed thereafter</w:t>
      </w:r>
      <w:r>
        <w:rPr/>
        <w:t xml:space="preserve"> shall serve for a term of five years </w:t>
      </w:r>
      <w:r>
        <w:t>((</w:t>
      </w:r>
      <w:r>
        <w:rPr>
          <w:strike/>
        </w:rPr>
        <w:t xml:space="preserve">and members may be reappointed by the governor</w:t>
      </w:r>
      <w:r>
        <w:t>))</w:t>
      </w:r>
      <w:r>
        <w:rPr>
          <w:u w:val="single"/>
        </w:rPr>
        <w:t xml:space="preserve">.</w:t>
      </w:r>
    </w:p>
    <w:p>
      <w:pPr>
        <w:spacing w:before="0" w:after="0" w:line="408" w:lineRule="exact"/>
        <w:ind w:left="0" w:right="0" w:firstLine="576"/>
        <w:jc w:val="left"/>
      </w:pPr>
      <w:r>
        <w:rPr>
          <w:u w:val="single"/>
        </w:rPr>
        <w:t xml:space="preserve">(b) The governor may reappoint members</w:t>
      </w:r>
      <w:r>
        <w:rPr/>
        <w:t xml:space="preserve">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w:t>
      </w:r>
      <w:r>
        <w:t>((</w:t>
      </w:r>
      <w:r>
        <w:rPr>
          <w:strike/>
        </w:rPr>
        <w:t xml:space="preserve">,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r>
        <w:t>))</w:t>
      </w:r>
      <w:r>
        <w:rPr/>
        <w:t xml:space="preserve">.</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w:t>
      </w:r>
      <w:r>
        <w:t>((</w:t>
      </w:r>
      <w:r>
        <w:rPr>
          <w:strike/>
        </w:rPr>
        <w:t xml:space="preserve">and one member who is a representative of the prescription drug industry</w:t>
      </w:r>
      <w:r>
        <w:t>))</w:t>
      </w:r>
      <w:r>
        <w:rPr/>
        <w:t xml:space="preserve">, for each drug affordability review conducted by the board pursuant to RCW 70.405.040.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shall adopt rules governing their operation that shall include how and when the board will use and discuss confidential information that is exempt from public disclosure. </w:t>
      </w:r>
      <w:r>
        <w:t>((</w:t>
      </w:r>
      <w:r>
        <w:rPr>
          <w:strike/>
        </w:rPr>
        <w:t xml:space="preserve">The rules adopted under this subsection may not go into effect until at least 90 days after the next regular legislative session.</w:t>
      </w:r>
      <w:r>
        <w:t>))</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w:t>
      </w:r>
      <w:r>
        <w:t>((</w:t>
      </w:r>
      <w:r>
        <w:rPr>
          <w:strike/>
        </w:rPr>
        <w:t xml:space="preserve">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strike/>
        </w:rPr>
        <w:t xml:space="preserve">(11)</w:t>
      </w:r>
      <w:r>
        <w:t>))</w:t>
      </w:r>
      <w:r>
        <w:rPr/>
        <w:t xml:space="preserve">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 All coordination and collaboration by the board pursuant to this subsection must comply with chapter 42.30 RCW, the open public meetings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board may collaborate with prescription drug affordability boards established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w:t>
      </w:r>
      <w:r>
        <w:t>((</w:t>
      </w:r>
      <w:r>
        <w:rPr>
          <w:strike/>
        </w:rPr>
        <w:t xml:space="preserve">2023</w:t>
      </w:r>
      <w:r>
        <w:t>))</w:t>
      </w:r>
      <w:r>
        <w:rPr/>
        <w:t xml:space="preserve"> </w:t>
      </w:r>
      <w:r>
        <w:rPr>
          <w:u w:val="single"/>
        </w:rPr>
        <w:t xml:space="preserve">2025</w:t>
      </w:r>
      <w:r>
        <w:rPr/>
        <w:t xml:space="preserve">, and annually thereafter, utilizing data collected pursuant to chapter 43.71C RCW, the all-payer health care claims database, or other data deemed relevant by the board, the board must identify prescription drugs that </w:t>
      </w:r>
      <w:r>
        <w:t>((</w:t>
      </w:r>
      <w:r>
        <w:rPr>
          <w:strike/>
        </w:rPr>
        <w:t xml:space="preserve">have been on the market for at least seven years, are dispensed at a retail, specialty, or mail-order pharmacy, are not designated by the United States food and drug administration under 21 U.S.C. Sec. 360bb as a drug solely for the treatment of a rare disease or condition, and</w:t>
      </w:r>
      <w:r>
        <w:t>))</w:t>
      </w:r>
      <w:r>
        <w:rPr/>
        <w:t xml:space="preserve">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w:t>
      </w:r>
      <w:r>
        <w:t>((</w:t>
      </w:r>
      <w:r>
        <w:rPr>
          <w:strike/>
        </w:rPr>
        <w:t xml:space="preserve">$60,000</w:t>
      </w:r>
      <w:r>
        <w:t>))</w:t>
      </w:r>
      <w:r>
        <w:rPr/>
        <w:t xml:space="preserve"> </w:t>
      </w:r>
      <w:r>
        <w:rPr>
          <w:u w:val="single"/>
        </w:rPr>
        <w:t xml:space="preserve">$25,000</w:t>
      </w:r>
      <w:r>
        <w:rPr/>
        <w:t xml:space="preserve"> or more per year or course of treatment lasting less than one year; or</w:t>
      </w:r>
    </w:p>
    <w:p>
      <w:pPr>
        <w:spacing w:before="0" w:after="0" w:line="408" w:lineRule="exact"/>
        <w:ind w:left="0" w:right="0" w:firstLine="576"/>
        <w:jc w:val="left"/>
      </w:pPr>
      <w:r>
        <w:rPr/>
        <w:t xml:space="preserve">(b) Have a price increase of </w:t>
      </w:r>
      <w:r>
        <w:t>((</w:t>
      </w:r>
      <w:r>
        <w:rPr>
          <w:strike/>
        </w:rPr>
        <w:t xml:space="preserve">15</w:t>
      </w:r>
      <w:r>
        <w:t>))</w:t>
      </w:r>
      <w:r>
        <w:rPr/>
        <w:t xml:space="preserve"> </w:t>
      </w:r>
      <w:r>
        <w:rPr>
          <w:u w:val="single"/>
        </w:rPr>
        <w:t xml:space="preserve">10</w:t>
      </w:r>
      <w:r>
        <w:rPr/>
        <w:t xml:space="preserve"> percent or more in any 12-month period or for a course of treatment lasting less than 12 months, or a </w:t>
      </w:r>
      <w:r>
        <w:t>((</w:t>
      </w:r>
      <w:r>
        <w:rPr>
          <w:strike/>
        </w:rPr>
        <w:t xml:space="preserve">50</w:t>
      </w:r>
      <w:r>
        <w:t>))</w:t>
      </w:r>
      <w:r>
        <w:rPr/>
        <w:t xml:space="preserve"> </w:t>
      </w:r>
      <w:r>
        <w:rPr>
          <w:u w:val="single"/>
        </w:rPr>
        <w:t xml:space="preserve">25</w:t>
      </w:r>
      <w:r>
        <w:rPr/>
        <w:t xml:space="preserve">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040</w:t>
      </w:r>
      <w:r>
        <w:rPr/>
        <w:t xml:space="preserve"> and 2022 c 153 s 4 are each amended to read as follows:</w:t>
      </w:r>
    </w:p>
    <w:p>
      <w:pPr>
        <w:spacing w:before="0" w:after="0" w:line="408" w:lineRule="exact"/>
        <w:ind w:left="0" w:right="0" w:firstLine="576"/>
        <w:jc w:val="left"/>
      </w:pPr>
      <w:r>
        <w:rPr/>
        <w:t xml:space="preserve">(1) The board may choose to conduct an affordability review of up to 24 prescription drugs per year identified pursuant to RCW 70.405.030.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RCW 70.405.020;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prescription drugs chosen for an affordability review, the board must determine whether the prescription drug has led or will lead to excess costs to patients. The board may examine publicly available information as well as collect confidential and proprietary information from the prescription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process for the assessment of a fine under this subsection shall be established by the authority in rule and is subject to review under the administrative procedure act, chapter 34.05 RCW. </w:t>
      </w:r>
      <w:r>
        <w:t>((</w:t>
      </w:r>
      <w:r>
        <w:rPr>
          <w:strike/>
        </w:rPr>
        <w:t xml:space="preserve">The rules adopted under this subsection may not go into effect until at least 90 days after the next regular legislative session.</w:t>
      </w:r>
      <w:r>
        <w:t>))</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confidential and not subject to public disclosure under chapter 42.56 RCW.</w:t>
      </w:r>
    </w:p>
    <w:p>
      <w:pPr>
        <w:spacing w:before="0" w:after="0" w:line="408" w:lineRule="exact"/>
        <w:ind w:left="0" w:right="0" w:firstLine="576"/>
        <w:jc w:val="left"/>
      </w:pPr>
      <w:r>
        <w:rPr/>
        <w:t xml:space="preserve">(8) The board shall publicize which prescription drugs are subject to an affordability review before the review begins.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050</w:t>
      </w:r>
      <w:r>
        <w:rPr/>
        <w:t xml:space="preserve"> and 2022 c 153 s 5 are each amended to read as follows:</w:t>
      </w:r>
    </w:p>
    <w:p>
      <w:pPr>
        <w:spacing w:before="0" w:after="0" w:line="408" w:lineRule="exact"/>
        <w:ind w:left="0" w:right="0" w:firstLine="576"/>
        <w:jc w:val="left"/>
      </w:pPr>
      <w:r>
        <w:rPr/>
        <w:t xml:space="preserve">(1) The authority</w:t>
      </w:r>
      <w:r>
        <w:rPr>
          <w:u w:val="single"/>
        </w:rPr>
        <w:t xml:space="preserve">, in consultation with the board,</w:t>
      </w:r>
      <w:r>
        <w:rPr/>
        <w:t xml:space="preserve"> must adopt rules setting forth a methodology </w:t>
      </w:r>
      <w:r>
        <w:t>((</w:t>
      </w:r>
      <w:r>
        <w:rPr>
          <w:strike/>
        </w:rPr>
        <w:t xml:space="preserve">established by the board</w:t>
      </w:r>
      <w:r>
        <w:t>))</w:t>
      </w:r>
      <w:r>
        <w:rPr/>
        <w:t xml:space="preserve"> for setting upper payment limits for prescription drugs the board has determined have led or will lead to excess costs based on its affordability review. </w:t>
      </w:r>
      <w:r>
        <w:t>((</w:t>
      </w:r>
      <w:r>
        <w:rPr>
          <w:strike/>
        </w:rPr>
        <w:t xml:space="preserve">The rules adopted under this subsection may not go into effect until at least 90 days after the next regular legislative session.</w:t>
      </w:r>
      <w:r>
        <w:t>))</w:t>
      </w:r>
      <w:r>
        <w:rPr/>
        <w:t xml:space="preserve">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w:t>
      </w:r>
      <w:r>
        <w:t>((</w:t>
      </w:r>
      <w:r>
        <w:rPr>
          <w:strike/>
        </w:rPr>
        <w:t xml:space="preserve">the upper payment limit may not go into effect until at least 90 days after the next regular legislative session and that</w:t>
      </w:r>
      <w:r>
        <w:t>))</w:t>
      </w:r>
      <w:r>
        <w:rPr/>
        <w:t xml:space="preserve">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w:t>
      </w:r>
      <w:r>
        <w:t>((</w:t>
      </w:r>
      <w:r>
        <w:rPr>
          <w:strike/>
        </w:rPr>
        <w:t xml:space="preserve">2027</w:t>
      </w:r>
      <w:r>
        <w:t>))</w:t>
      </w:r>
      <w:r>
        <w:rPr/>
        <w:t xml:space="preserve"> </w:t>
      </w:r>
      <w:r>
        <w:rPr>
          <w:u w:val="single"/>
        </w:rPr>
        <w:t xml:space="preserve">2026</w:t>
      </w:r>
      <w:r>
        <w:rPr/>
        <w:t xml:space="preserve">. </w:t>
      </w:r>
      <w:r>
        <w:rPr>
          <w:u w:val="single"/>
        </w:rPr>
        <w:t xml:space="preserve">For prescription drugs designated by the United States food and drug administration under 21 U.S.C. Sec. 360bb as a drug solely for the treatment of a rare disease or condition, the board may not establish an upper payment limit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w:t>
      </w:r>
      <w:r>
        <w:rPr>
          <w:u w:val="single"/>
        </w:rPr>
        <w:t xml:space="preserve">and all other covered therapeutic alternatives are ineffective or have intolerable side effects, or if the drug is designated by the United States food and drug administration under 21 U.S.C. Sec. 360bb as a drug solely for the treatment of a rare disease or condition</w:t>
      </w:r>
      <w:r>
        <w:rPr/>
        <w:t xml:space="preserve">, the carrier may disregard the upper payment limit and must provide coverage for the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060</w:t>
      </w:r>
      <w:r>
        <w:rPr/>
        <w:t xml:space="preserve"> and 2022 c 153 s 6 are each amended to read as follows:</w:t>
      </w:r>
    </w:p>
    <w:p>
      <w:pPr>
        <w:spacing w:before="0" w:after="0" w:line="408" w:lineRule="exact"/>
        <w:ind w:left="0" w:right="0" w:firstLine="576"/>
        <w:jc w:val="left"/>
      </w:pP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w:t>
      </w:r>
      <w:r>
        <w:t>((</w:t>
      </w:r>
      <w:r>
        <w:rPr>
          <w:strike/>
        </w:rPr>
        <w:t xml:space="preserve">January</w:t>
      </w:r>
      <w:r>
        <w:t>))</w:t>
      </w:r>
      <w:r>
        <w:rPr/>
        <w:t xml:space="preserve"> </w:t>
      </w:r>
      <w:r>
        <w:rPr>
          <w:u w:val="single"/>
        </w:rPr>
        <w:t xml:space="preserve">July</w:t>
      </w:r>
      <w:r>
        <w:rPr/>
        <w:t xml:space="preserve"> 1, </w:t>
      </w:r>
      <w:r>
        <w:t>((</w:t>
      </w:r>
      <w:r>
        <w:rPr>
          <w:strike/>
        </w:rPr>
        <w:t xml:space="preserve">2024</w:t>
      </w:r>
      <w:r>
        <w:t>))</w:t>
      </w:r>
      <w:r>
        <w:rPr/>
        <w:t xml:space="preserve"> </w:t>
      </w:r>
      <w:r>
        <w:rPr>
          <w:u w:val="single"/>
        </w:rPr>
        <w:t xml:space="preserve">2025</w:t>
      </w:r>
      <w:r>
        <w:rPr/>
        <w:t xml:space="preserve">,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070</w:t>
      </w:r>
      <w:r>
        <w:rPr/>
        <w:t xml:space="preserve"> and 2022 c 153 s 7 are each amended to read as follows:</w:t>
      </w:r>
    </w:p>
    <w:p>
      <w:pPr>
        <w:spacing w:before="0" w:after="0" w:line="408" w:lineRule="exact"/>
        <w:ind w:left="0" w:right="0" w:firstLine="576"/>
        <w:jc w:val="left"/>
      </w:pP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three-year ban if it agrees to make the drug available for sale in compliance with the upper payment limit.</w:t>
      </w:r>
    </w:p>
    <w:p>
      <w:pPr>
        <w:spacing w:before="0" w:after="0" w:line="408" w:lineRule="exact"/>
        <w:ind w:left="0" w:right="0" w:firstLine="576"/>
        <w:jc w:val="left"/>
      </w:pPr>
      <w:r>
        <w:t>((</w:t>
      </w:r>
      <w:r>
        <w:rPr>
          <w:strike/>
        </w:rPr>
        <w:t xml:space="preserve">(4) The rules adopted under this section may not go into effect until at least 90 days after the next regular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090</w:t>
      </w:r>
      <w:r>
        <w:rPr/>
        <w:t xml:space="preserve"> and 2022 c 153 s 9 are each amended to read as follows:</w:t>
      </w:r>
    </w:p>
    <w:p>
      <w:pPr>
        <w:spacing w:before="0" w:after="0" w:line="408" w:lineRule="exact"/>
        <w:ind w:left="0" w:right="0" w:firstLine="576"/>
        <w:jc w:val="left"/>
      </w:pPr>
      <w:r>
        <w:rPr/>
        <w:t xml:space="preserve">The authority may adopt any rules necessary to implement this chapter. </w:t>
      </w:r>
      <w:r>
        <w:t>((</w:t>
      </w:r>
      <w:r>
        <w:rPr>
          <w:strike/>
        </w:rPr>
        <w:t xml:space="preserve">The rules adopted under this section may not go into effect until at least 90 days after the next regular legislative session.</w:t>
      </w:r>
      <w:r>
        <w:t>))</w:t>
      </w:r>
    </w:p>
    <w:p/>
    <w:p>
      <w:pPr>
        <w:jc w:val="center"/>
      </w:pPr>
      <w:r>
        <w:rPr>
          <w:b/>
        </w:rPr>
        <w:t>--- END ---</w:t>
      </w:r>
    </w:p>
    <w:sectPr>
      <w:pgNumType w:start="1"/>
      <w:footerReference xmlns:r="http://schemas.openxmlformats.org/officeDocument/2006/relationships" r:id="R39766ee030cd42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f73e0599543be" /><Relationship Type="http://schemas.openxmlformats.org/officeDocument/2006/relationships/footer" Target="/word/footer1.xml" Id="R39766ee030cd4268" /></Relationships>
</file>