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79a6da3db4395" /></Relationships>
</file>

<file path=word/document.xml><?xml version="1.0" encoding="utf-8"?>
<w:document xmlns:w="http://schemas.openxmlformats.org/wordprocessingml/2006/main">
  <w:body>
    <w:p>
      <w:r>
        <w:t>H-0187.2</w:t>
      </w:r>
    </w:p>
    <w:p>
      <w:pPr>
        <w:jc w:val="center"/>
      </w:pPr>
      <w:r>
        <w:t>_______________________________________________</w:t>
      </w:r>
    </w:p>
    <w:p/>
    <w:p>
      <w:pPr>
        <w:jc w:val="center"/>
      </w:pPr>
      <w:r>
        <w:rPr>
          <w:b/>
        </w:rPr>
        <w:t>HOUSE BILL 1276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Cortes, Fitzgibbon, Wylie, Ryu, Tharinger, Walen, Peterson, Macri, Fosse, and Senn</w:t>
      </w:r>
    </w:p>
    <w:p/>
    <w:p>
      <w:r>
        <w:rPr>
          <w:t xml:space="preserve">Read first time 01/12/23.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36.70A.696, 36.70A.697, and 36.70A.698; reenacting and amending RCW 36.70A.070;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shortage of affordable housing units available for home ownership or long-term rental within most urban growth areas of the state. This lack of affordable housing forces many residents to spend more than 30 percent of their household income on housing, greatly increasing housing insecurity and contributing to the state's crisis of unacceptable numbers of persons experiencing homelessness. Increasing the availability of accessory dwelling units, also referred to as "ADUs," may increase opportunities for people to age in their own home and increase multigenerational family ties along with offering opportunities to reduce intergenerational poverty by increasing home ownership. The legislature finds that accessory dwelling units can be one way to add affordable long-term housing and to provide a needed increase in housing density within urban growth areas with benefits to reducing fossil fuel use and other contributions to climate change due to housing and transportation patterns. The legislature seeks to encourage accessory dwelling unit availability as a modest housing option by streamlining local government regulations that may unintentionally make accessory dwelling units less economical. Since residents in a region may be choosing between cities, it is important to acknowledge that one city cannot build affordability on its own. An expansion in supply of affordable housing in a small city, but not neighboring cities, may satisfy some of the demand for affordable housing, but without a regional strategy, small cities will not be able to build affordability on their own. Statewide action is needed. Furthermore, the legislature finds that research from several cities shows that when accessory dwelling units are built or that are converted and offered for short-term rental for tourists and business visitors, they may not improve housing affordability. Therefore, it is the intent of the legislature to meet these important policy goals by increasing the availability of accessory dwelling units as modest housing options, limiting the restrictions that can be imposed on the development and use of accessory dwelling units within urban growth areas, and authorizing local governments to adopt programs to incentivize or reduce local government-imposed cost or time related obstacles to the development of accessory dwelling units when the accessory dwelling units will be utilized for long-term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w:t>
      </w:r>
      <w:r>
        <w:t>((</w:t>
      </w:r>
      <w:r>
        <w:rPr>
          <w:strike/>
        </w:rPr>
        <w:t xml:space="preserve">,</w:t>
      </w:r>
      <w:r>
        <w:t>))</w:t>
      </w:r>
      <w:r>
        <w:rPr/>
        <w:t xml:space="preserve">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w:t>
      </w:r>
      <w:r>
        <w:t>((</w:t>
      </w:r>
      <w:r>
        <w:rPr>
          <w:strike/>
        </w:rPr>
        <w:t xml:space="preserve">ten-year</w:t>
      </w:r>
      <w:r>
        <w:t>))</w:t>
      </w:r>
      <w:r>
        <w:rPr/>
        <w:t xml:space="preserve"> </w:t>
      </w:r>
      <w:r>
        <w:rPr>
          <w:u w:val="single"/>
        </w:rPr>
        <w:t xml:space="preserve">10-year</w:t>
      </w:r>
      <w:r>
        <w:rPr/>
        <w:t xml:space="preserve">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w:t>
      </w:r>
      <w:r>
        <w:t>((</w:t>
      </w:r>
      <w:r>
        <w:rPr>
          <w:strike/>
        </w:rPr>
        <w:t xml:space="preserve">ten-year</w:t>
      </w:r>
      <w:r>
        <w:t>))</w:t>
      </w:r>
      <w:r>
        <w:rPr/>
        <w:t xml:space="preserve"> </w:t>
      </w:r>
      <w:r>
        <w:rPr>
          <w:u w:val="single"/>
        </w:rPr>
        <w:t xml:space="preserve">10-year</w:t>
      </w:r>
      <w:r>
        <w:rPr/>
        <w:t xml:space="preserve">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 </w:t>
      </w:r>
      <w:r>
        <w:rPr>
          <w:u w:val="single"/>
        </w:rPr>
        <w:t xml:space="preserve">An attached accessory dwelling unit must have a substantial portion of its footprint within the other housing unit, and must share structural elements with the other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w:t>
      </w:r>
      <w:r>
        <w:t>((</w:t>
      </w:r>
      <w:r>
        <w:rPr>
          <w:strike/>
        </w:rPr>
        <w:t xml:space="preserve">at least fifteen</w:t>
      </w:r>
      <w:r>
        <w:t>))</w:t>
      </w:r>
      <w:r>
        <w:rPr/>
        <w:t xml:space="preserve"> </w:t>
      </w:r>
      <w:r>
        <w:rPr>
          <w:u w:val="single"/>
        </w:rPr>
        <w:t xml:space="preserve">no greater than 15</w:t>
      </w:r>
      <w:r>
        <w:rPr/>
        <w:t xml:space="preserve"> minutes for at least five hours during the peak hours of operation on weekdays.</w:t>
      </w:r>
    </w:p>
    <w:p>
      <w:pPr>
        <w:spacing w:before="0" w:after="0" w:line="408" w:lineRule="exact"/>
        <w:ind w:left="0" w:right="0" w:firstLine="576"/>
        <w:jc w:val="left"/>
      </w:pPr>
      <w:r>
        <w:rPr/>
        <w:t xml:space="preserve">(8) </w:t>
      </w:r>
      <w:r>
        <w:t>((</w:t>
      </w:r>
      <w:r>
        <w:rPr>
          <w:strike/>
        </w:rPr>
        <w:t xml:space="preserve">"Owner" means any person who has at least 50 percent ownership in a property on which an accessory dwelling unit is located.</w:t>
      </w:r>
    </w:p>
    <w:p>
      <w:pPr>
        <w:spacing w:before="0" w:after="0" w:line="408" w:lineRule="exact"/>
        <w:ind w:left="0" w:right="0" w:firstLine="576"/>
        <w:jc w:val="left"/>
      </w:pPr>
      <w:r>
        <w:rPr>
          <w:strike/>
        </w:rPr>
        <w:t xml:space="preserve">(9)</w:t>
      </w:r>
      <w:r>
        <w:t>))</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limit on accessory dwelling units of fewer than one attached and one detached accessory dwelling unit on a lot zoned for residential use with a total square footage of more than 4,500 square feet, unless the lot is otherwise zoned to allow:</w:t>
      </w:r>
    </w:p>
    <w:p>
      <w:pPr>
        <w:spacing w:before="0" w:after="0" w:line="408" w:lineRule="exact"/>
        <w:ind w:left="0" w:right="0" w:firstLine="576"/>
        <w:jc w:val="left"/>
      </w:pPr>
      <w:r>
        <w:rPr>
          <w:u w:val="single"/>
        </w:rPr>
        <w:t xml:space="preserve">(i) At least two dwelling units, in which case at least one additional attached or detached accessory dwelling unit must be allowed;</w:t>
      </w:r>
    </w:p>
    <w:p>
      <w:pPr>
        <w:spacing w:before="0" w:after="0" w:line="408" w:lineRule="exact"/>
        <w:ind w:left="0" w:right="0" w:firstLine="576"/>
        <w:jc w:val="left"/>
      </w:pPr>
      <w:r>
        <w:rPr>
          <w:u w:val="single"/>
        </w:rPr>
        <w:t xml:space="preserve">(ii) At least three dwelling units;</w:t>
      </w:r>
    </w:p>
    <w:p>
      <w:pPr>
        <w:spacing w:before="0" w:after="0" w:line="408" w:lineRule="exact"/>
        <w:ind w:left="0" w:right="0" w:firstLine="576"/>
        <w:jc w:val="left"/>
      </w:pPr>
      <w:r>
        <w:rPr>
          <w:u w:val="single"/>
        </w:rPr>
        <w:t xml:space="preserve">(b) Impose a limit on accessory dwelling units of fewer than one attached or one detached accessory dwelling unit on a lot zoned for residential use with a total square footage of less than 4,500 square feet, unless the lot is otherwise zoned to allow at least two dwelling units;</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begun prior to December 31, 2022,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Require</w:t>
      </w:r>
      <w:r>
        <w:rPr/>
        <w:t xml:space="preserve"> the provision of off-street parking for accessory dwelling units within one-quarter mile of a major transit stop</w:t>
      </w:r>
      <w:r>
        <w:rPr>
          <w:u w:val="single"/>
        </w:rPr>
        <w:t xml:space="preserve">, except that a city or county may require the provision of off-street parking for such an accessory dwelling unit if the city or county makes a determination, supported by evidence, that the accessory dwelling unit is in an area that would make on-street parking infeasible or unsafe for the accessory dwelling unit; or</w:t>
      </w:r>
    </w:p>
    <w:p>
      <w:pPr>
        <w:spacing w:before="0" w:after="0" w:line="408" w:lineRule="exact"/>
        <w:ind w:left="0" w:right="0" w:firstLine="576"/>
        <w:jc w:val="left"/>
      </w:pPr>
      <w:r>
        <w:rPr>
          <w:u w:val="single"/>
        </w:rPr>
        <w:t xml:space="preserve">(f) Apply other development regulations to the construction of accessory dwelling units that are more restrictive than regulations on single-family or other residential developments</w:t>
      </w:r>
      <w:r>
        <w:rPr/>
        <w:t xml:space="preserve">.</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Regulations that may be applied to accessory dwelling units by cities and counties include:</w:t>
      </w:r>
    </w:p>
    <w:p>
      <w:pPr>
        <w:spacing w:before="0" w:after="0" w:line="408" w:lineRule="exact"/>
        <w:ind w:left="0" w:right="0" w:firstLine="576"/>
        <w:jc w:val="left"/>
      </w:pPr>
      <w:r>
        <w:rPr>
          <w:u w:val="single"/>
        </w:rPr>
        <w:t xml:space="preserve">(a) Generally applicable development regulations;</w:t>
      </w:r>
    </w:p>
    <w:p>
      <w:pPr>
        <w:spacing w:before="0" w:after="0" w:line="408" w:lineRule="exact"/>
        <w:ind w:left="0" w:right="0" w:firstLine="576"/>
        <w:jc w:val="left"/>
      </w:pPr>
      <w:r>
        <w:rPr>
          <w:u w:val="single"/>
        </w:rPr>
        <w:t xml:space="preserve">(b) Public health, safety, building code, and environmental permitting requirements, including regulations to protect ground and surface waters from on-site wastewater, that would be applicable to a principal unit;</w:t>
      </w:r>
    </w:p>
    <w:p>
      <w:pPr>
        <w:spacing w:before="0" w:after="0" w:line="408" w:lineRule="exact"/>
        <w:ind w:left="0" w:right="0" w:firstLine="576"/>
        <w:jc w:val="left"/>
      </w:pPr>
      <w:r>
        <w:rPr>
          <w:u w:val="single"/>
        </w:rPr>
        <w:t xml:space="preserve">(c) A prohibition on the construction of accessory dwelling units on lots that are not connected to or served by public sewers;</w:t>
      </w:r>
    </w:p>
    <w:p>
      <w:pPr>
        <w:spacing w:before="0" w:after="0" w:line="408" w:lineRule="exact"/>
        <w:ind w:left="0" w:right="0" w:firstLine="576"/>
        <w:jc w:val="left"/>
      </w:pPr>
      <w:r>
        <w:rPr>
          <w:u w:val="single"/>
        </w:rPr>
        <w:t xml:space="preserve">(d) A prohibition or restriction on the construction of accessory dwelling units in residential zones with a density of one dwelling unit per acre or less that are within areas designated as wetlands, fish and wildlife habitats, floodplains,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 such units are subject to effective binding commitments or covenants that the units will not be regularly offered for short-term rental.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
      <w:pPr>
        <w:jc w:val="center"/>
      </w:pPr>
      <w:r>
        <w:rPr>
          <w:b/>
        </w:rPr>
        <w:t>--- END ---</w:t>
      </w:r>
    </w:p>
    <w:sectPr>
      <w:pgNumType w:start="1"/>
      <w:footerReference xmlns:r="http://schemas.openxmlformats.org/officeDocument/2006/relationships" r:id="R324ef548da9f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287a091c34c4d" /><Relationship Type="http://schemas.openxmlformats.org/officeDocument/2006/relationships/footer" Target="/word/footer1.xml" Id="R324ef548da9f43ff" /></Relationships>
</file>