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ee0043c7b4385" /></Relationships>
</file>

<file path=word/document.xml><?xml version="1.0" encoding="utf-8"?>
<w:document xmlns:w="http://schemas.openxmlformats.org/wordprocessingml/2006/main">
  <w:body>
    <w:p>
      <w:r>
        <w:t>H-0506.1</w:t>
      </w:r>
    </w:p>
    <w:p>
      <w:pPr>
        <w:jc w:val="center"/>
      </w:pPr>
      <w:r>
        <w:t>_______________________________________________</w:t>
      </w:r>
    </w:p>
    <w:p/>
    <w:p>
      <w:pPr>
        <w:jc w:val="center"/>
      </w:pPr>
      <w:r>
        <w:rPr>
          <w:b/>
        </w:rPr>
        <w:t>HOUSE BILL 1298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Hutchins, Walen, Barkis, Klicker, Cheney, Bateman, Doglio, Gregerson, and Leavitt</w:t>
      </w:r>
    </w:p>
    <w:p/>
    <w:p>
      <w:r>
        <w:rPr>
          <w:t xml:space="preserve">Read first time 01/13/23.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64.50.050, 64.90.250, 64.90.605, 64.90.645, 64.90.665, 64.90.670, 64.90.675, 82.45.010, 82.45.010, 82.02.060, and 58.17.060; reenacting and amending RCW 64.38.010; adding a new section to chapter 19.27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64.34.020 </w:t>
      </w:r>
      <w:r>
        <w:rPr>
          <w:u w:val="single"/>
        </w:rPr>
        <w:t xml:space="preserve">and 64.90.010</w:t>
      </w:r>
      <w:r>
        <w:rPr/>
        <w:t xml:space="preserve">.</w:t>
      </w:r>
    </w:p>
    <w:p>
      <w:pPr>
        <w:spacing w:before="0" w:after="0" w:line="408" w:lineRule="exact"/>
        <w:ind w:left="0" w:right="0" w:firstLine="576"/>
        <w:jc w:val="left"/>
      </w:pPr>
      <w:r>
        <w:rPr/>
        <w:t xml:space="preserve">(2) "Association" has the meaning in RCW 64.34.020 </w:t>
      </w:r>
      <w:r>
        <w:rPr>
          <w:u w:val="single"/>
        </w:rPr>
        <w:t xml:space="preserve">and 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64.34.020 </w:t>
      </w:r>
      <w:r>
        <w:rPr>
          <w:u w:val="single"/>
        </w:rPr>
        <w:t xml:space="preserve">and 64.90.010</w:t>
      </w:r>
      <w:r>
        <w:rPr/>
        <w:t xml:space="preserve">.</w:t>
      </w:r>
    </w:p>
    <w:p>
      <w:pPr>
        <w:spacing w:before="0" w:after="0" w:line="408" w:lineRule="exact"/>
        <w:ind w:left="0" w:right="0" w:firstLine="576"/>
        <w:jc w:val="left"/>
      </w:pPr>
      <w:r>
        <w:rPr/>
        <w:t xml:space="preserve">(5) "Condominium" has the meaning in RCW 64.34.020 </w:t>
      </w:r>
      <w:r>
        <w:rPr>
          <w:u w:val="single"/>
        </w:rPr>
        <w:t xml:space="preserve">and 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64.34.020 </w:t>
      </w:r>
      <w:r>
        <w:rPr>
          <w:u w:val="single"/>
        </w:rPr>
        <w:t xml:space="preserve">and 64.90.010</w:t>
      </w:r>
      <w:r>
        <w:rPr/>
        <w:t xml:space="preserve">.</w:t>
      </w:r>
    </w:p>
    <w:p>
      <w:pPr>
        <w:spacing w:before="0" w:after="0" w:line="408" w:lineRule="exact"/>
        <w:ind w:left="0" w:right="0" w:firstLine="576"/>
        <w:jc w:val="left"/>
      </w:pPr>
      <w:r>
        <w:rPr/>
        <w:t xml:space="preserve">(8) "Declarant" has the meaning in RCW 64.34.020 </w:t>
      </w:r>
      <w:r>
        <w:rPr>
          <w:u w:val="single"/>
        </w:rPr>
        <w:t xml:space="preserve">and 64.90.010</w:t>
      </w:r>
      <w:r>
        <w:rPr/>
        <w:t xml:space="preserve">.</w:t>
      </w:r>
    </w:p>
    <w:p>
      <w:pPr>
        <w:spacing w:before="0" w:after="0" w:line="408" w:lineRule="exact"/>
        <w:ind w:left="0" w:right="0" w:firstLine="576"/>
        <w:jc w:val="left"/>
      </w:pPr>
      <w:r>
        <w:rPr/>
        <w:t xml:space="preserve">(9) "Declarant control" has the meaning in RCW 64.34.020 </w:t>
      </w:r>
      <w:r>
        <w:rPr>
          <w:u w:val="single"/>
        </w:rPr>
        <w:t xml:space="preserve">and 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64.34.020 </w:t>
      </w:r>
      <w:r>
        <w:rPr>
          <w:u w:val="single"/>
        </w:rPr>
        <w:t xml:space="preserve">and 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64.34.020 </w:t>
      </w:r>
      <w:r>
        <w:rPr>
          <w:u w:val="single"/>
        </w:rPr>
        <w:t xml:space="preserve">and 64.90.010</w:t>
      </w:r>
      <w:r>
        <w:rPr/>
        <w:t xml:space="preserve">.</w:t>
      </w:r>
    </w:p>
    <w:p>
      <w:pPr>
        <w:spacing w:before="0" w:after="0" w:line="408" w:lineRule="exact"/>
        <w:ind w:left="0" w:right="0" w:firstLine="576"/>
        <w:jc w:val="left"/>
      </w:pPr>
      <w:r>
        <w:rPr/>
        <w:t xml:space="preserve">(17) "Public offering statement" has the meaning in RCW 64.34.410 </w:t>
      </w:r>
      <w:r>
        <w:rPr>
          <w:u w:val="single"/>
        </w:rPr>
        <w:t xml:space="preserve">and in 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RCW 64.34.425 </w:t>
      </w:r>
      <w:r>
        <w:rPr>
          <w:u w:val="single"/>
        </w:rPr>
        <w:t xml:space="preserve">or 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64.34.312 </w:t>
      </w:r>
      <w:r>
        <w:rPr>
          <w:u w:val="single"/>
        </w:rPr>
        <w:t xml:space="preserve">or 64.90.420</w:t>
      </w:r>
      <w:r>
        <w:rPr/>
        <w:t xml:space="preserve">.</w:t>
      </w:r>
    </w:p>
    <w:p>
      <w:pPr>
        <w:spacing w:before="0" w:after="0" w:line="408" w:lineRule="exact"/>
        <w:ind w:left="0" w:right="0" w:firstLine="576"/>
        <w:jc w:val="left"/>
      </w:pPr>
      <w:r>
        <w:rPr/>
        <w:t xml:space="preserve">(22) "Unit" has the meaning in RCW 64.34.020 </w:t>
      </w:r>
      <w:r>
        <w:rPr>
          <w:u w:val="single"/>
        </w:rPr>
        <w:t xml:space="preserve">and 64.90.010</w:t>
      </w:r>
      <w:r>
        <w:rPr/>
        <w:t xml:space="preserve">.</w:t>
      </w:r>
    </w:p>
    <w:p>
      <w:pPr>
        <w:spacing w:before="0" w:after="0" w:line="408" w:lineRule="exact"/>
        <w:ind w:left="0" w:right="0" w:firstLine="576"/>
        <w:jc w:val="left"/>
      </w:pPr>
      <w:r>
        <w:rPr/>
        <w:t xml:space="preserve">(23) "Unit owner" has the meaning in RCW 64.34.020 </w:t>
      </w:r>
      <w:r>
        <w:rPr>
          <w:u w:val="single"/>
        </w:rPr>
        <w:t xml:space="preserve">and 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(11)</w:t>
      </w:r>
      <w:r>
        <w:t>))</w:t>
      </w:r>
      <w:r>
        <w:rPr/>
        <w:t xml:space="preserve"> </w:t>
      </w:r>
      <w:r>
        <w:rPr>
          <w:u w:val="single"/>
        </w:rPr>
        <w:t xml:space="preserve">(12)</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 qualified expert witness governed by rule 702 of the Washington state court rules: Rules of evidence. An expert whose compensation is, for services rendered under this chapter, in any way dependent on the outcome of an action is not a qualified construction defect professional.</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t>
      </w:r>
      <w:r>
        <w:rPr>
          <w:u w:val="single"/>
        </w:rPr>
        <w:t xml:space="preserve">(a)</w:t>
      </w:r>
      <w:r>
        <w:rPr/>
        <w:t xml:space="preserve"> written notice of claim </w:t>
      </w:r>
      <w:r>
        <w:rPr>
          <w:u w:val="single"/>
        </w:rPr>
        <w:t xml:space="preserve">and (b) written defect assessment report</w:t>
      </w:r>
      <w:r>
        <w:rPr/>
        <w:t xml:space="preserve"> on the construction professional. </w:t>
      </w:r>
    </w:p>
    <w:p>
      <w:pPr>
        <w:spacing w:before="0" w:after="0" w:line="408" w:lineRule="exact"/>
        <w:ind w:left="0" w:right="0" w:firstLine="576"/>
        <w:jc w:val="left"/>
      </w:pPr>
      <w:r>
        <w:rPr>
          <w:u w:val="single"/>
        </w:rPr>
        <w:t xml:space="preserve">(i)</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(ii) The report required in this subsection (1)(b) shall be executed under oath by a construction defect professional, or an equivalent reliable source, and shall state with particularity:</w:t>
      </w:r>
    </w:p>
    <w:p>
      <w:pPr>
        <w:spacing w:before="0" w:after="0" w:line="408" w:lineRule="exact"/>
        <w:ind w:left="0" w:right="0" w:firstLine="576"/>
        <w:jc w:val="left"/>
      </w:pPr>
      <w:r>
        <w:rPr>
          <w:u w:val="single"/>
        </w:rPr>
        <w:t xml:space="preserve">(A) The construction defect professional's qualifications, training, and experience with construction defect issues;</w:t>
      </w:r>
    </w:p>
    <w:p>
      <w:pPr>
        <w:spacing w:before="0" w:after="0" w:line="408" w:lineRule="exact"/>
        <w:ind w:left="0" w:right="0" w:firstLine="576"/>
        <w:jc w:val="left"/>
      </w:pPr>
      <w:r>
        <w:rPr>
          <w:u w:val="single"/>
        </w:rPr>
        <w:t xml:space="preserve">(B) The manner and type of inspection forming the basis for the report;</w:t>
      </w:r>
    </w:p>
    <w:p>
      <w:pPr>
        <w:spacing w:before="0" w:after="0" w:line="408" w:lineRule="exact"/>
        <w:ind w:left="0" w:right="0" w:firstLine="576"/>
        <w:jc w:val="left"/>
      </w:pPr>
      <w:r>
        <w:rPr>
          <w:u w:val="single"/>
        </w:rPr>
        <w:t xml:space="preserve">(C) A reasonably detailed description sufficient to identify the location and nature of the defect based on the scope of the inspection, and the extent of the defect;</w:t>
      </w:r>
    </w:p>
    <w:p>
      <w:pPr>
        <w:spacing w:before="0" w:after="0" w:line="408" w:lineRule="exact"/>
        <w:ind w:left="0" w:right="0" w:firstLine="576"/>
        <w:jc w:val="left"/>
      </w:pPr>
      <w:r>
        <w:rPr>
          <w:u w:val="single"/>
        </w:rPr>
        <w:t xml:space="preserve">(D) The recommended repair proposed to correct the observed defect; and</w:t>
      </w:r>
    </w:p>
    <w:p>
      <w:pPr>
        <w:spacing w:before="0" w:after="0" w:line="408" w:lineRule="exact"/>
        <w:ind w:left="0" w:right="0" w:firstLine="576"/>
        <w:jc w:val="left"/>
      </w:pPr>
      <w:r>
        <w:rPr>
          <w:u w:val="single"/>
        </w:rPr>
        <w:t xml:space="preserve">(E) The construction defect professional's opinion as to the applicable code or building standard implicated by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21</w:t>
      </w:r>
      <w:r>
        <w:rPr/>
        <w:t xml:space="preserve"> days after service of the notice of claim,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rPr/>
        <w:t xml:space="preserve">(3)(a)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t>
      </w:r>
      <w:r>
        <w:rPr>
          <w:u w:val="single"/>
        </w:rPr>
        <w:t xml:space="preserve">and written defect assessment report under subsection (1)(b) of this section</w:t>
      </w:r>
      <w:r>
        <w:rPr/>
        <w:t xml:space="preserve">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w:t>
      </w:r>
      <w:r>
        <w:rPr>
          <w:u w:val="single"/>
        </w:rPr>
        <w:t xml:space="preserve">and written defect assessment report under subsection (1)(b) of this section</w:t>
      </w:r>
      <w:r>
        <w:rPr/>
        <w:t xml:space="preserve">.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rPr/>
        <w:t xml:space="preserve">(5)(a)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rPr/>
        <w:t xml:space="preserve">(6)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rPr/>
        <w:t xml:space="preserve">(7) Nothing in this section may be construed to prevent a claimant from commencing an action on the construction defect claim described in the notice of claim </w:t>
      </w:r>
      <w:r>
        <w:rPr>
          <w:u w:val="single"/>
        </w:rPr>
        <w:t xml:space="preserve">and written defect assessment report under subsection (1)(b) of this section</w:t>
      </w:r>
      <w:r>
        <w:rPr/>
        <w:t xml:space="preserve"> if the construction professional fails to perform the construction agreed upon, fails to remedy the defect, or fails to perform by the timetable agreed upon pursuant to subsection (2)(a) or (5) of this section.</w:t>
      </w:r>
    </w:p>
    <w:p>
      <w:pPr>
        <w:spacing w:before="0" w:after="0" w:line="408" w:lineRule="exact"/>
        <w:ind w:left="0" w:right="0" w:firstLine="576"/>
        <w:jc w:val="left"/>
      </w:pPr>
      <w:r>
        <w:rPr/>
        <w:t xml:space="preserve">(8) Prior to commencing any action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w:t>
      </w:r>
      <w:r>
        <w:rPr>
          <w:u w:val="single"/>
        </w:rPr>
        <w:t xml:space="preserve">including amending the written defect assessment report under subsection (1)(b) of this section</w:t>
      </w:r>
      <w:r>
        <w:rPr/>
        <w:t xml:space="preserve">.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w:t>
      </w:r>
      <w:r>
        <w:rPr>
          <w:u w:val="single"/>
        </w:rPr>
        <w:t xml:space="preserve">, the amended written defect assessment report,</w:t>
      </w:r>
      <w:r>
        <w:rPr/>
        <w:t xml:space="preserve">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t>
      </w:r>
      <w:r>
        <w:rPr>
          <w:u w:val="single"/>
        </w:rPr>
        <w:t xml:space="preserve">(i)</w:t>
      </w:r>
      <w:r>
        <w:rPr/>
        <w:t xml:space="preserve"> written notice of the commencement or anticipated commencement of such action </w:t>
      </w:r>
      <w:r>
        <w:rPr>
          <w:u w:val="single"/>
        </w:rPr>
        <w:t xml:space="preserve">and (ii) written defect assessment report</w:t>
      </w:r>
      <w:r>
        <w:rPr/>
        <w:t xml:space="preserve">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and</w:t>
      </w:r>
    </w:p>
    <w:p>
      <w:pPr>
        <w:spacing w:before="0" w:after="0" w:line="408" w:lineRule="exact"/>
        <w:ind w:left="0" w:right="0" w:firstLine="576"/>
        <w:jc w:val="left"/>
      </w:pPr>
      <w:r>
        <w:rPr/>
        <w:t xml:space="preserve">(ii) The expenses and fees that the board of directors anticipates will be incurred in prosecuting the action.</w:t>
      </w:r>
    </w:p>
    <w:p>
      <w:pPr>
        <w:spacing w:before="0" w:after="0" w:line="408" w:lineRule="exact"/>
        <w:ind w:left="0" w:right="0" w:firstLine="576"/>
        <w:jc w:val="left"/>
      </w:pPr>
      <w:r>
        <w:rPr>
          <w:u w:val="single"/>
        </w:rPr>
        <w:t xml:space="preserve">(c) The report required by (a) of this subsection shall comply with RCW 64.50.020.</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64.34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w:t>
      </w:r>
      <w:r>
        <w:rPr>
          <w:u w:val="single"/>
        </w:rPr>
        <w:t xml:space="preserve">, A WRITTEN DEFECT NOTICE REPORT PURSUANT TO RCW 64.50.020(1)(b),</w:t>
      </w:r>
      <w:r>
        <w:rPr/>
        <w:t xml:space="preserve"> AND PROVIDE YOUR SELLER OR BUILDER THE OPPORTUNITY TO MAKE AN OFFER TO REPAIR OR PAY FOR THE DEFECTS. YOU ARE NOT OBLIGATED TO ACCEPT ANY OFFER MADE BY THE BUILDER OR SELLER. </w:t>
      </w:r>
      <w:r>
        <w:rPr>
          <w:u w:val="single"/>
        </w:rPr>
        <w:t xml:space="preserve">IF YOU REJECT A REASONABLE OFFER OR DO NOT PERMIT THE CONTRACTOR OR INDEPENDENT CONTRACTOR A REASONABLE OPPORTUNITY TO INSPECT OR REPAIR THE DEFECT PURSUANT TO AN ACCEPTED OFFER TO REPAIR OR PAY FOR THE DEFECTS, YOU:</w:t>
      </w:r>
    </w:p>
    <w:p>
      <w:pPr>
        <w:spacing w:before="120" w:after="0" w:line="408" w:lineRule="exact"/>
        <w:ind w:left="576" w:right="576" w:firstLine="0"/>
        <w:jc w:val="left"/>
      </w:pPr>
      <w:r>
        <w:rPr>
          <w:u w:val="single"/>
        </w:rPr>
        <w:t xml:space="preserve">(1) MAY NOT RECOVER AN AMOUNT IN EXCESS OF THE FAIR MARKET VALUE OF THE CONTRACTOR'S OFFER; AND</w:t>
      </w:r>
    </w:p>
    <w:p>
      <w:pPr>
        <w:spacing w:before="120" w:after="0" w:line="408" w:lineRule="exact"/>
        <w:ind w:left="576" w:right="576" w:firstLine="0"/>
        <w:jc w:val="left"/>
      </w:pPr>
      <w:r>
        <w:rPr>
          <w:u w:val="single"/>
        </w:rPr>
        <w:t xml:space="preserve">(2) MAY RECOVER ONLY THE AMOUNT OF REASONABLE AND NECESSARY COSTS AND ATTORNEYS' FEES INCURRED BEFORE THE OFFER WAS REJECTED OR CONSIDERED REJECTED.</w:t>
      </w:r>
      <w:r>
        <w:rPr/>
        <w:t xml:space="preserve"> </w:t>
      </w:r>
      <w:r>
        <w:rPr/>
        <w:t xml:space="preserve">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665</w:t>
      </w:r>
      <w:r>
        <w:rPr/>
        <w:t xml:space="preserve"> and 2018 c 277 s 414 are each amended to read as follows:</w:t>
      </w:r>
    </w:p>
    <w:p>
      <w:pPr>
        <w:spacing w:before="0" w:after="0" w:line="408" w:lineRule="exact"/>
        <w:ind w:left="0" w:right="0" w:firstLine="576"/>
        <w:jc w:val="left"/>
      </w:pP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w:t>
      </w:r>
      <w:r>
        <w:t>((</w:t>
      </w:r>
      <w:r>
        <w:rPr>
          <w:strike/>
        </w:rPr>
        <w:t xml:space="preserve">statement,</w:t>
      </w:r>
      <w:r>
        <w:t>))</w:t>
      </w:r>
      <w:r>
        <w:rPr/>
        <w:t xml:space="preserve"> affirmation, promise, </w:t>
      </w:r>
      <w:r>
        <w:t>((</w:t>
      </w:r>
      <w:r>
        <w:rPr>
          <w:strike/>
        </w:rPr>
        <w:t xml:space="preserve">model, depiction, or</w:t>
      </w:r>
      <w:r>
        <w:t>))</w:t>
      </w:r>
      <w:r>
        <w:rPr/>
        <w:t xml:space="preserve"> description</w:t>
      </w:r>
      <w:r>
        <w:rPr>
          <w:u w:val="single"/>
        </w:rPr>
        <w:t xml:space="preserve">, plans, specifications, plat, survey, statement, or other item</w:t>
      </w:r>
      <w:r>
        <w:rPr/>
        <w:t xml:space="preserve">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2019 c 238 s 102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engineering and construction standards, including applicable building codes, generally accepted in the state of Washington at the time of construction; and</w:t>
      </w:r>
    </w:p>
    <w:p>
      <w:pPr>
        <w:spacing w:before="0" w:after="0" w:line="408" w:lineRule="exact"/>
        <w:ind w:left="0" w:right="0" w:firstLine="576"/>
        <w:jc w:val="left"/>
      </w:pPr>
      <w:r>
        <w:rPr/>
        <w:t xml:space="preserve">(c) Constructed in a workmanlike manner.</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purchaser must show that the alleged breach has adversely affected or will adversely affect the performance of that portion of the unit or common elements alleged to be in breach. 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To establish an adverse effect on performance, the purchaser is required to prove that the alleged breach:</w:t>
      </w:r>
    </w:p>
    <w:p>
      <w:pPr>
        <w:spacing w:before="0" w:after="0" w:line="408" w:lineRule="exact"/>
        <w:ind w:left="0" w:right="0" w:firstLine="576"/>
        <w:jc w:val="left"/>
      </w:pPr>
      <w:r>
        <w:rPr/>
        <w:t xml:space="preserve">(i) Is more than technical;</w:t>
      </w:r>
    </w:p>
    <w:p>
      <w:pPr>
        <w:spacing w:before="0" w:after="0" w:line="408" w:lineRule="exact"/>
        <w:ind w:left="0" w:right="0" w:firstLine="576"/>
        <w:jc w:val="left"/>
      </w:pPr>
      <w:r>
        <w:rPr/>
        <w:t xml:space="preserve">(ii) Is significant to a reasonable person; and</w:t>
      </w:r>
    </w:p>
    <w:p>
      <w:pPr>
        <w:spacing w:before="0" w:after="0" w:line="408" w:lineRule="exact"/>
        <w:ind w:left="0" w:right="0" w:firstLine="576"/>
        <w:jc w:val="left"/>
      </w:pPr>
      <w:r>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p>
    <w:p>
      <w:pPr>
        <w:spacing w:before="0" w:after="0" w:line="408" w:lineRule="exact"/>
        <w:ind w:left="0" w:right="0" w:firstLine="576"/>
        <w:jc w:val="left"/>
      </w:pPr>
      <w:r>
        <w:rPr/>
        <w:t xml:space="preserve">(8) Proof of breach of any obligation arising under this section is not proof of damages. Damages awarded for a breach of a warranty arising under subsection (2) of this section are the reasonable cost of repairs. However, if it is established that the cost of such repairs is clearly disproportionate to the loss in market value caused by the breach, damages are limited to the loss in market value.</w:t>
      </w:r>
    </w:p>
    <w:p>
      <w:pPr>
        <w:spacing w:before="0" w:after="0" w:line="408" w:lineRule="exact"/>
        <w:ind w:left="0" w:right="0" w:firstLine="576"/>
        <w:jc w:val="left"/>
      </w:pPr>
      <w:r>
        <w:rPr>
          <w:u w:val="single"/>
        </w:rPr>
        <w:t xml:space="preserve">(9) The warranties described in subsections (1) through (3) of this section are not implied in the purchase and sale of a condominium unit in a building containing 12 or fewer units or three or fewer stories.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675</w:t>
      </w:r>
      <w:r>
        <w:rPr/>
        <w:t xml:space="preserve"> and 2018 c 277 s 416 are each amended to read as follows:</w:t>
      </w:r>
    </w:p>
    <w:p>
      <w:pPr>
        <w:spacing w:before="0" w:after="0" w:line="408" w:lineRule="exact"/>
        <w:ind w:left="0" w:right="0" w:firstLine="576"/>
        <w:jc w:val="left"/>
      </w:pPr>
      <w:r>
        <w:rPr/>
        <w:t xml:space="preserve">(1) Except as limited under subsection (2) of this section with respect to a purchaser of a condominium unit that may be used for residential use, implied warranties of quality under RCW 64.90.670:</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w:t>
      </w:r>
      <w:r>
        <w:t>((</w:t>
      </w:r>
      <w:r>
        <w:rPr>
          <w:strike/>
        </w:rPr>
        <w:t xml:space="preserve">used</w:t>
      </w:r>
      <w:r>
        <w:t>))</w:t>
      </w:r>
      <w:r>
        <w:rPr/>
        <w:t xml:space="preserve"> </w:t>
      </w:r>
      <w:r>
        <w:rPr>
          <w:u w:val="single"/>
        </w:rPr>
        <w:t xml:space="preserve">occupied</w:t>
      </w:r>
      <w:r>
        <w:rPr/>
        <w:t xml:space="preserve"> for residential use, no </w:t>
      </w:r>
      <w:r>
        <w:rPr>
          <w:u w:val="single"/>
        </w:rPr>
        <w:t xml:space="preserve">general</w:t>
      </w:r>
      <w:r>
        <w:rPr/>
        <w:t xml:space="preserve"> disclaimer of implied warranties of quality under RCW 64.90.670 is effective, </w:t>
      </w:r>
      <w:r>
        <w:t>((</w:t>
      </w:r>
      <w:r>
        <w:rPr>
          <w:strike/>
        </w:rPr>
        <w:t xml:space="preserve">except that</w:t>
      </w:r>
      <w:r>
        <w:t>))</w:t>
      </w:r>
      <w:r>
        <w:rPr/>
        <w:t xml:space="preserve"> </w:t>
      </w:r>
      <w:r>
        <w:rPr>
          <w:u w:val="single"/>
        </w:rPr>
        <w:t xml:space="preserve">but</w:t>
      </w:r>
      <w:r>
        <w:rPr/>
        <w:t xml:space="preserve">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w:t>
      </w:r>
      <w:r>
        <w:t>((</w:t>
      </w:r>
      <w:r>
        <w:rPr>
          <w:strike/>
        </w:rPr>
        <w:t xml:space="preserve">The declarant or dealer knows or has reason to believe that the specific defects or failures exist at the time of disclosure;</w:t>
      </w:r>
    </w:p>
    <w:p>
      <w:pPr>
        <w:spacing w:before="0" w:after="0" w:line="408" w:lineRule="exact"/>
        <w:ind w:left="0" w:right="0" w:firstLine="576"/>
        <w:jc w:val="left"/>
      </w:pPr>
      <w:r>
        <w:rPr>
          <w:strike/>
        </w:rPr>
        <w:t xml:space="preserve">(b)</w:t>
      </w:r>
      <w:r>
        <w:t>))</w:t>
      </w:r>
      <w:r>
        <w:rPr/>
        <w:t xml:space="preserve"> The </w:t>
      </w:r>
      <w:r>
        <w:t>((</w:t>
      </w:r>
      <w:r>
        <w:rPr>
          <w:strike/>
        </w:rPr>
        <w:t xml:space="preserve">disclaimer</w:t>
      </w:r>
      <w:r>
        <w:t>))</w:t>
      </w:r>
      <w:r>
        <w:rPr/>
        <w:t xml:space="preserve"> </w:t>
      </w:r>
      <w:r>
        <w:rPr>
          <w:u w:val="single"/>
        </w:rPr>
        <w:t xml:space="preserve">instrument</w:t>
      </w:r>
      <w:r>
        <w:rPr/>
        <w:t xml:space="preserve"> specifically describes the defects or failures;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w:t>
      </w:r>
      <w:r>
        <w:t>((</w:t>
      </w:r>
      <w:r>
        <w:rPr>
          <w:strike/>
        </w:rPr>
        <w:t xml:space="preserve">disclaimer</w:t>
      </w:r>
      <w:r>
        <w:t>))</w:t>
      </w:r>
      <w:r>
        <w:rPr/>
        <w:t xml:space="preserve"> </w:t>
      </w:r>
      <w:r>
        <w:rPr>
          <w:u w:val="single"/>
        </w:rPr>
        <w:t xml:space="preserve">instrument</w:t>
      </w:r>
      <w:r>
        <w:rPr/>
        <w:t xml:space="preserve"> includes a statement as to the effect of the defects or failures;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w:t>
      </w:r>
      <w:r>
        <w:t>((</w:t>
      </w:r>
      <w:r>
        <w:rPr>
          <w:strike/>
        </w:rPr>
        <w:t xml:space="preserve">disclaimer</w:t>
      </w:r>
      <w:r>
        <w:t>))</w:t>
      </w:r>
      <w:r>
        <w:rPr/>
        <w:t xml:space="preserve"> </w:t>
      </w:r>
      <w:r>
        <w:rPr>
          <w:u w:val="single"/>
        </w:rPr>
        <w:t xml:space="preserve">instrument</w:t>
      </w:r>
      <w:r>
        <w:rPr/>
        <w:t xml:space="preserve"> is bold faced, capitalized, underlined, or otherwise set out from surrounding material so as to be conspicuous;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w:t>
      </w:r>
      <w:r>
        <w:t>((</w:t>
      </w:r>
      <w:r>
        <w:rPr>
          <w:strike/>
        </w:rPr>
        <w:t xml:space="preserve">disclaimer</w:t>
      </w:r>
      <w:r>
        <w:t>))</w:t>
      </w:r>
      <w:r>
        <w:rPr/>
        <w:t xml:space="preserve"> </w:t>
      </w:r>
      <w:r>
        <w:rPr>
          <w:u w:val="single"/>
        </w:rPr>
        <w:t xml:space="preserve">instrument</w:t>
      </w:r>
      <w:r>
        <w:rPr/>
        <w:t xml:space="preserve">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RCW 64.90.670.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specific building and energy code provisions for multiunit residential buildings between two and 12 units and three or fewer stories, including approval of a variety of complete building designs and styles that are compatible in size and form with single-family neighborhoods and capable of being constructed on common residential lot sizes. The purpose of this section is to direct the council to support homeownership by adopting code provisions and complete building designs that minimize the costs of design, permitting, and construction. The code provisions and building designs approved by the council will apply statewide, and a local government may modify code provisions or building designs only to decrease design, permitting, or construction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a condominium unit to a person who is a first-time homebuyer who either uses or meets the eligibility requirements for the first-time homebuyer program offered by the Washington state housing finance commission.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a condominium unit to a person who is a first-time homebuyer who either uses or meets the eligibility requirements for the first-time homebuyer program offered by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and number of bedrooms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10, and 11 of this act apply only to condominium units for which a public offering statement is made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2030.</w:t>
      </w:r>
    </w:p>
    <w:p/>
    <w:p>
      <w:pPr>
        <w:jc w:val="center"/>
      </w:pPr>
      <w:r>
        <w:rPr>
          <w:b/>
        </w:rPr>
        <w:t>--- END ---</w:t>
      </w:r>
    </w:p>
    <w:sectPr>
      <w:pgNumType w:start="1"/>
      <w:footerReference xmlns:r="http://schemas.openxmlformats.org/officeDocument/2006/relationships" r:id="R7e7e678181614d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fefbaa8c845f6" /><Relationship Type="http://schemas.openxmlformats.org/officeDocument/2006/relationships/footer" Target="/word/footer1.xml" Id="R7e7e678181614d2f" /></Relationships>
</file>