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f6e24191d4ffb" /></Relationships>
</file>

<file path=word/document.xml><?xml version="1.0" encoding="utf-8"?>
<w:document xmlns:w="http://schemas.openxmlformats.org/wordprocessingml/2006/main">
  <w:body>
    <w:p>
      <w:r>
        <w:t>H-0496.1</w:t>
      </w:r>
    </w:p>
    <w:p>
      <w:pPr>
        <w:jc w:val="center"/>
      </w:pPr>
      <w:r>
        <w:t>_______________________________________________</w:t>
      </w:r>
    </w:p>
    <w:p/>
    <w:p>
      <w:pPr>
        <w:jc w:val="center"/>
      </w:pPr>
      <w:r>
        <w:rPr>
          <w:b/>
        </w:rPr>
        <w:t>HOUSE BILL 1314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Maycumber, Riccelli, Schmidt, Ramel, Chapman, Harris, Thai, Stonier, Berry, Volz, Bergquist, Bateman, Lekanoff, Macri, Doglio, Gregerson, Reed, Kloba, and Leavitt</w:t>
      </w:r>
    </w:p>
    <w:p/>
    <w:p>
      <w:r>
        <w:rPr>
          <w:t xml:space="preserve">Read first time 01/13/23.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reassessing standards for polychlorinated biphenyls in consumer products; adding new sections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of ecology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of ecology to petition the United States environmental protection agency to reassess its PCB regulations under the toxic substances control act and to establish restrictions on the use of PCBs previously considered inadvertent in consumer products under its authority provided by the pollution prevention for healthy people and Puget Sound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under this chapter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chapter.</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Paints and printing inks are confirmed as priority consumer products for PCB chemicals.</w:t>
      </w:r>
    </w:p>
    <w:p>
      <w:pPr>
        <w:spacing w:before="0" w:after="0" w:line="408" w:lineRule="exact"/>
        <w:ind w:left="0" w:right="0" w:firstLine="576"/>
        <w:jc w:val="left"/>
      </w:pPr>
      <w:r>
        <w:rPr/>
        <w:t xml:space="preserve">(2) For the products identified in subsection (1) of this section, the department is directed to:</w:t>
      </w:r>
    </w:p>
    <w:p>
      <w:pPr>
        <w:spacing w:before="0" w:after="0" w:line="408" w:lineRule="exact"/>
        <w:ind w:left="0" w:right="0" w:firstLine="576"/>
        <w:jc w:val="left"/>
      </w:pPr>
      <w:r>
        <w:rPr/>
        <w:t xml:space="preserve">(a) Establish a restriction or prohibition under this chapter by June 1, 2025; and</w:t>
      </w:r>
    </w:p>
    <w:p>
      <w:pPr>
        <w:spacing w:before="0" w:after="0" w:line="408" w:lineRule="exact"/>
        <w:ind w:left="0" w:right="0" w:firstLine="576"/>
        <w:jc w:val="left"/>
      </w:pPr>
      <w:r>
        <w:rPr/>
        <w:t xml:space="preserve">(b) Adopt rules to implement the restriction or prohibition under (a) of this subsection by December 1, 2026.</w:t>
      </w:r>
    </w:p>
    <w:p>
      <w:pPr>
        <w:spacing w:before="0" w:after="0" w:line="408" w:lineRule="exact"/>
        <w:ind w:left="0" w:right="0" w:firstLine="576"/>
        <w:jc w:val="left"/>
      </w:pPr>
      <w:r>
        <w:rPr/>
        <w:t xml:space="preserve">(3) The department may not administer or enforce any restriction or prohibition established under subsection (2) of this section if:</w:t>
      </w:r>
    </w:p>
    <w:p>
      <w:pPr>
        <w:spacing w:before="0" w:after="0" w:line="408" w:lineRule="exact"/>
        <w:ind w:left="0" w:right="0" w:firstLine="576"/>
        <w:jc w:val="left"/>
      </w:pPr>
      <w:r>
        <w:rPr/>
        <w:t xml:space="preserve">(a) A court of competent jurisdiction determines that federal regulations preempt the restriction or prohibition; or</w:t>
      </w:r>
    </w:p>
    <w:p>
      <w:pPr>
        <w:spacing w:before="0" w:after="0" w:line="408" w:lineRule="exact"/>
        <w:ind w:left="0" w:right="0" w:firstLine="576"/>
        <w:jc w:val="left"/>
      </w:pPr>
      <w:r>
        <w:rPr/>
        <w:t xml:space="preserve">(b) The restriction or prohibition does not align with any new regulation established by the United States environmental protection agency.</w:t>
      </w:r>
    </w:p>
    <w:p>
      <w:pPr>
        <w:spacing w:before="0" w:after="0" w:line="408" w:lineRule="exact"/>
        <w:ind w:left="0" w:right="0" w:firstLine="576"/>
        <w:jc w:val="left"/>
      </w:pPr>
      <w:r>
        <w:rPr/>
        <w:t xml:space="preserve">(4) If any restriction or prohibition established under subsection (2) of this section is determined by a court of competent jurisdiction to be preempted by federal regulations, the department is directed to:</w:t>
      </w:r>
    </w:p>
    <w:p>
      <w:pPr>
        <w:spacing w:before="0" w:after="0" w:line="408" w:lineRule="exact"/>
        <w:ind w:left="0" w:right="0" w:firstLine="576"/>
        <w:jc w:val="left"/>
      </w:pPr>
      <w:r>
        <w:rPr/>
        <w:t xml:space="preserve">(a) Establish a reporting requirement for priority chemicals or processes that generate priority chemicals under this chapter within 180 days from the determination of preemption; and</w:t>
      </w:r>
    </w:p>
    <w:p>
      <w:pPr>
        <w:spacing w:before="0" w:after="0" w:line="408" w:lineRule="exact"/>
        <w:ind w:left="0" w:right="0" w:firstLine="576"/>
        <w:jc w:val="left"/>
      </w:pPr>
      <w:r>
        <w:rPr/>
        <w:t xml:space="preserve">(b) Adopt rules to implement the reporting requirement under (a) of this subsection within 18 months from the date the reporting requirement is established.</w:t>
      </w:r>
    </w:p>
    <w:p>
      <w:pPr>
        <w:spacing w:before="0" w:after="0" w:line="408" w:lineRule="exact"/>
        <w:ind w:left="0" w:right="0" w:firstLine="576"/>
        <w:jc w:val="left"/>
      </w:pPr>
      <w:r>
        <w:rPr/>
        <w:t xml:space="preserve">(5) As used in this section, "paints and printing inks" may include, but are not limited to, building paint for indoor and outdoor use, spray paint, children's paint, road paint, and printing inks used in paper and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169a65ab16d48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cbc24fbbf4561" /><Relationship Type="http://schemas.openxmlformats.org/officeDocument/2006/relationships/footer" Target="/word/footer1.xml" Id="R4169a65ab16d4855" /></Relationships>
</file>