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4a8907466f4ae1" /></Relationships>
</file>

<file path=word/document.xml><?xml version="1.0" encoding="utf-8"?>
<w:document xmlns:w="http://schemas.openxmlformats.org/wordprocessingml/2006/main">
  <w:body>
    <w:p>
      <w:r>
        <w:t>H-1077.1</w:t>
      </w:r>
    </w:p>
    <w:p>
      <w:pPr>
        <w:jc w:val="center"/>
      </w:pPr>
      <w:r>
        <w:t>_______________________________________________</w:t>
      </w:r>
    </w:p>
    <w:p/>
    <w:p>
      <w:pPr>
        <w:jc w:val="center"/>
      </w:pPr>
      <w:r>
        <w:rPr>
          <w:b/>
        </w:rPr>
        <w:t>SUBSTITUTE HOUSE BILL 1335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Berry, Farivar, Taylor, Ramel, Simmons, Kloba, Bateman, Reed, and Lekanoff)</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publication of personal identifying information;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harm;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another person's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(b) Providing personal identifying information in connection with a lawful and constitutionally protected form of speech, assembly, or petition; or</w:t>
      </w:r>
    </w:p>
    <w:p>
      <w:pPr>
        <w:spacing w:before="0" w:after="0" w:line="408" w:lineRule="exact"/>
        <w:ind w:left="0" w:right="0" w:firstLine="576"/>
        <w:jc w:val="left"/>
      </w:pPr>
      <w:r>
        <w:rPr/>
        <w:t xml:space="preserve">(c) Providing personal identifying information to a requestor in response to a lawful request under the public records act, chapter 42.56 RCW, if the disclosure conforms to the requirements of chapter 42.56 RCW;</w:t>
      </w:r>
    </w:p>
    <w:p>
      <w:pPr>
        <w:spacing w:before="0" w:after="0" w:line="408" w:lineRule="exact"/>
        <w:ind w:left="0" w:right="0" w:firstLine="576"/>
        <w:jc w:val="left"/>
      </w:pPr>
      <w:r>
        <w:rPr/>
        <w:t xml:space="preserve">(d) Providing personal identifying information when required to do so by any federal, state, or local law or regulation, or court rule or court order. This subsection (2)(d)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(e) Providing personal identifying information in connection with a lawful requirement for a court filing or recording, including but not limited to recording judgments or filing claims of liens; or</w:t>
      </w:r>
    </w:p>
    <w:p>
      <w:pPr>
        <w:spacing w:before="0" w:after="0" w:line="408" w:lineRule="exact"/>
        <w:ind w:left="0" w:right="0" w:firstLine="576"/>
        <w:jc w:val="left"/>
      </w:pPr>
      <w:r>
        <w:rPr/>
        <w:t xml:space="preserve">(f) Providing personal identifying information as permitted under the federal Gramm-Leach-Bliley act and consumer financial protection bureau Regulation P, 12 C.F.R. Part 1016, consistent with privacy policy disclosures provided pursuant to such regulation.</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information published in violation of this section.</w:t>
      </w:r>
    </w:p>
    <w:p>
      <w:pPr>
        <w:spacing w:before="0" w:after="0" w:line="408" w:lineRule="exact"/>
        <w:ind w:left="0" w:right="0" w:firstLine="576"/>
        <w:jc w:val="left"/>
      </w:pPr>
      <w:r>
        <w:rPr/>
        <w:t xml:space="preserve">(6) The definitions in this 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9f1092f072b4d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00672352c4542" /><Relationship Type="http://schemas.openxmlformats.org/officeDocument/2006/relationships/footer" Target="/word/footer1.xml" Id="Rc9f1092f072b4d80" /></Relationships>
</file>