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fc2378178740d2" /></Relationships>
</file>

<file path=word/document.xml><?xml version="1.0" encoding="utf-8"?>
<w:document xmlns:w="http://schemas.openxmlformats.org/wordprocessingml/2006/main">
  <w:body>
    <w:p>
      <w:r>
        <w:t>H-0313.1</w:t>
      </w:r>
    </w:p>
    <w:p>
      <w:pPr>
        <w:jc w:val="center"/>
      </w:pPr>
      <w:r>
        <w:t>_______________________________________________</w:t>
      </w:r>
    </w:p>
    <w:p/>
    <w:p>
      <w:pPr>
        <w:jc w:val="center"/>
      </w:pPr>
      <w:r>
        <w:rPr>
          <w:b/>
        </w:rPr>
        <w:t>HOUSE BILL 1337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Barkis, Berry, Christian, Duerr, Fitzgibbon, Taylor, Ramel, Reeves, Simmons, Walen, Graham, Bateman, Reed, Lekanoff, Doglio, Tharinger, Cortes, Macri, and Stonier</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options by easing barriers to the construction and use of accessory dwelling units; amending RCW 36.70A.696, 43.21C.495, and 36.70A.280; adding new sections to chapter 36.70A RCW; creating a new section; and repealing RCW 35.63.210, 35A.63.230, 36.70A.400,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by July 1, 2024.</w:t>
      </w:r>
    </w:p>
    <w:p>
      <w:pPr>
        <w:spacing w:before="0" w:after="0" w:line="408" w:lineRule="exact"/>
        <w:ind w:left="0" w:right="0" w:firstLine="576"/>
        <w:jc w:val="left"/>
      </w:pPr>
      <w:r>
        <w:rPr/>
        <w:t xml:space="preserve">(b) Beginning July 1, 2024, the requirements of this section and of section 4 of this act apply and take effect in any city or county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need only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(5)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(6)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section 3 of this act and subsection (2) of this section, a city or county must comply with a minimum of three of the following policies:</w:t>
      </w:r>
    </w:p>
    <w:p>
      <w:pPr>
        <w:spacing w:before="0" w:after="0" w:line="408" w:lineRule="exact"/>
        <w:ind w:left="0" w:right="0" w:firstLine="576"/>
        <w:jc w:val="left"/>
      </w:pPr>
      <w:r>
        <w:rPr/>
        <w:t xml:space="preserve">(a) The city or county may not establish a requirement for the provision of off-street parking for accessory dwelling units;</w:t>
      </w:r>
    </w:p>
    <w:p>
      <w:pPr>
        <w:spacing w:before="0" w:after="0" w:line="408" w:lineRule="exact"/>
        <w:ind w:left="0" w:right="0" w:firstLine="576"/>
        <w:jc w:val="left"/>
      </w:pPr>
      <w:r>
        <w:rPr/>
        <w:t xml:space="preserve">(b)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(c) The city or county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(d) The city or county must allow at least two accessory dwelling units on all lots that are located in all zoning districts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(2) Through ordinances, development regulations, and other official controls adopted or amended to comply with section 3 of this act and subsection (1) of this section, a city or county must also comply with all of the following policies:</w:t>
      </w:r>
    </w:p>
    <w:p>
      <w:pPr>
        <w:spacing w:before="0" w:after="0" w:line="408" w:lineRule="exact"/>
        <w:ind w:left="0" w:right="0" w:firstLine="576"/>
        <w:jc w:val="left"/>
      </w:pPr>
      <w:r>
        <w:rPr/>
        <w:t xml:space="preserve">(a) The city or county must permit accessory dwelling units in structures detached from the principal unit;</w:t>
      </w:r>
    </w:p>
    <w:p>
      <w:pPr>
        <w:spacing w:before="0" w:after="0" w:line="408" w:lineRule="exact"/>
        <w:ind w:left="0" w:right="0" w:firstLine="576"/>
        <w:jc w:val="left"/>
      </w:pPr>
      <w:r>
        <w:rPr/>
        <w:t xml:space="preserve">(b) The city or county must allow an accessory dwelling unit on any lot that meets the minimum lot size required for the principal unit;</w:t>
      </w:r>
    </w:p>
    <w:p>
      <w:pPr>
        <w:spacing w:before="0" w:after="0" w:line="408" w:lineRule="exact"/>
        <w:ind w:left="0" w:right="0" w:firstLine="576"/>
        <w:jc w:val="left"/>
      </w:pPr>
      <w:r>
        <w:rPr/>
        <w:t xml:space="preserve">(c)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(d)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(e)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(f)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(g)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(h)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(i) A city or county may not require public street improvements as a condition of permitting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NumType w:start="1"/>
      <w:footerReference xmlns:r="http://schemas.openxmlformats.org/officeDocument/2006/relationships" r:id="R10da8f5a24c44c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25d06225d4f1d" /><Relationship Type="http://schemas.openxmlformats.org/officeDocument/2006/relationships/footer" Target="/word/footer1.xml" Id="R10da8f5a24c44cb5" /></Relationships>
</file>