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96813f39641f3" /></Relationships>
</file>

<file path=word/document.xml><?xml version="1.0" encoding="utf-8"?>
<w:document xmlns:w="http://schemas.openxmlformats.org/wordprocessingml/2006/main">
  <w:body>
    <w:p>
      <w:r>
        <w:t>H-0489.1</w:t>
      </w:r>
    </w:p>
    <w:p>
      <w:pPr>
        <w:jc w:val="center"/>
      </w:pPr>
      <w:r>
        <w:t>_______________________________________________</w:t>
      </w:r>
    </w:p>
    <w:p/>
    <w:p>
      <w:pPr>
        <w:jc w:val="center"/>
      </w:pPr>
      <w:r>
        <w:rPr>
          <w:b/>
        </w:rPr>
        <w:t>HOUSE BILL 1349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Leavitt, Ramel, Kloba, Reed, Lekanoff, Pollet, and Fosse</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amending RCW 61.24.008, 61.24.030, 61.24.040, 61.24.160, 61.24.163, 61.24.165, 61.24.166, and 61.24.190; adding a new section to chapter 61.24 RCW;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008</w:t>
      </w:r>
      <w:r>
        <w:rPr/>
        <w:t xml:space="preserve"> and 2012 c 185 s 11 are each amended to read as follows:</w:t>
      </w:r>
    </w:p>
    <w:p>
      <w:pPr>
        <w:spacing w:before="0" w:after="0" w:line="408" w:lineRule="exact"/>
        <w:ind w:left="0" w:right="0" w:firstLine="576"/>
        <w:jc w:val="left"/>
      </w:pPr>
      <w:r>
        <w:rPr/>
        <w:t xml:space="preserve">(1) A borrower who has been referred to mediation before June 7, 2012, may continue through the mediation process and does not lose his or her right to mediation.</w:t>
      </w:r>
    </w:p>
    <w:p>
      <w:pPr>
        <w:spacing w:before="0" w:after="0" w:line="408" w:lineRule="exact"/>
        <w:ind w:left="0" w:right="0" w:firstLine="576"/>
        <w:jc w:val="left"/>
      </w:pPr>
      <w:r>
        <w:rPr/>
        <w:t xml:space="preserve">(2) A borrower who has not been referred to mediation as of June 7, 2012, may only be referred to mediation after a notice of default has been issued but no later than </w:t>
      </w:r>
      <w:r>
        <w:t>((</w:t>
      </w:r>
      <w:r>
        <w:rPr>
          <w:strike/>
        </w:rPr>
        <w:t xml:space="preserve">twenty days from the date a notice of sale is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(3) A borrower who has not been referred to mediation as of June 7, 2012, and who has had a notice of sale recorded may only be referred to mediation if the referral is made </w:t>
      </w:r>
      <w:r>
        <w:t>((</w:t>
      </w:r>
      <w:r>
        <w:rPr>
          <w:strike/>
        </w:rPr>
        <w:t xml:space="preserve">before twenty days have passed from the date the notice of sale was recorded</w:t>
      </w:r>
      <w:r>
        <w:t>))</w:t>
      </w:r>
      <w:r>
        <w:rPr/>
        <w:t xml:space="preserve"> </w:t>
      </w:r>
      <w:r>
        <w:rPr>
          <w:u w:val="single"/>
        </w:rPr>
        <w:t xml:space="preserve">at least 90 days prior to the date of sale listed in the notice of trustee's sale. If an amended notice of trustee's sale is recorded, the borrower may be referred to mediation no later than 25 days prior to the date of sale listed in the amended notice of trustee's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2021 c 151 s 3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w:t>
      </w:r>
      <w:r>
        <w:t>((</w:t>
      </w:r>
      <w:r>
        <w:rPr>
          <w:strike/>
        </w:rPr>
        <w:t xml:space="preserve">thirty</w:t>
      </w:r>
      <w:r>
        <w:t>))</w:t>
      </w:r>
      <w:r>
        <w:rPr/>
        <w:t xml:space="preserve"> </w:t>
      </w:r>
      <w:r>
        <w:rPr>
          <w:u w:val="single"/>
        </w:rPr>
        <w:t xml:space="preserve">30</w:t>
      </w:r>
      <w:r>
        <w:rPr/>
        <w:t xml:space="preserve">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w:t>
      </w:r>
      <w:r>
        <w:t>((</w:t>
      </w:r>
      <w:r>
        <w:rPr>
          <w:strike/>
        </w:rPr>
        <w:t xml:space="preserve">thirty</w:t>
      </w:r>
      <w:r>
        <w:t>))</w:t>
      </w:r>
      <w:r>
        <w:rPr/>
        <w:t xml:space="preserve"> </w:t>
      </w:r>
      <w:r>
        <w:rPr>
          <w:u w:val="single"/>
        </w:rPr>
        <w:t xml:space="preserve">30</w:t>
      </w:r>
      <w:r>
        <w:rPr/>
        <w:t xml:space="preserve"> days of the date of mailing of the notice, or if personally served, within </w:t>
      </w:r>
      <w:r>
        <w:t>((</w:t>
      </w:r>
      <w:r>
        <w:rPr>
          <w:strike/>
        </w:rPr>
        <w:t xml:space="preserve">thirty</w:t>
      </w:r>
      <w:r>
        <w:t>))</w:t>
      </w:r>
      <w:r>
        <w:rPr/>
        <w:t xml:space="preserve"> </w:t>
      </w:r>
      <w:r>
        <w:rPr>
          <w:u w:val="single"/>
        </w:rPr>
        <w:t xml:space="preserve">30</w:t>
      </w:r>
      <w:r>
        <w:rPr/>
        <w:t xml:space="preserve"> days of the date of personal service thereof, may lead to recordation, transmittal, and publication of a notice of sale, and that the property described in (a) of this subsection may be sold at public auction at a date no less than </w:t>
      </w:r>
      <w:r>
        <w:t>((</w:t>
      </w:r>
      <w:r>
        <w:rPr>
          <w:strike/>
        </w:rPr>
        <w:t xml:space="preserve">one hundred twenty</w:t>
      </w:r>
      <w:r>
        <w:t>))</w:t>
      </w:r>
      <w:r>
        <w:rPr/>
        <w:t xml:space="preserve"> </w:t>
      </w:r>
      <w:r>
        <w:rPr>
          <w:u w:val="single"/>
        </w:rPr>
        <w:t xml:space="preserve">120</w:t>
      </w:r>
      <w:r>
        <w:rPr/>
        <w:t xml:space="preserve"> days in the future, or no less than </w:t>
      </w:r>
      <w:r>
        <w:t>((</w:t>
      </w:r>
      <w:r>
        <w:rPr>
          <w:strike/>
        </w:rPr>
        <w:t xml:space="preserve">one hundred fifty</w:t>
      </w:r>
      <w:r>
        <w:t>))</w:t>
      </w:r>
      <w:r>
        <w:rPr/>
        <w:t xml:space="preserve"> </w:t>
      </w:r>
      <w:r>
        <w:rPr>
          <w:u w:val="single"/>
        </w:rPr>
        <w:t xml:space="preserve">150</w:t>
      </w:r>
      <w:r>
        <w:rPr/>
        <w:t xml:space="preserve">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t>((</w:t>
      </w:r>
      <w:r>
        <w:rPr>
          <w:strike/>
        </w:rPr>
        <w:t xml:space="preserve">twenty days after the Notice of Trustee Sale is recorded</w:t>
      </w:r>
      <w:r>
        <w:t>))</w:t>
      </w:r>
      <w:r>
        <w:rPr/>
        <w:t xml:space="preserve"> </w:t>
      </w:r>
      <w:r>
        <w:rPr>
          <w:b/>
          <w:u w:val="single"/>
        </w:rPr>
        <w:t xml:space="preserve">90 calendar days BEFORE the date of sale</w:t>
      </w:r>
      <w:r>
        <w:rPr>
          <w:u w:val="single"/>
        </w:rPr>
        <w:t xml:space="preserve"> listed in the Notice of Trustee Sale. If an amended Notice of Trustee Sale is recorded providing a 45-day notice of the sale, mediation must be requested no later than </w:t>
      </w:r>
      <w:r>
        <w:rPr>
          <w:b/>
          <w:u w:val="single"/>
        </w:rPr>
        <w:t xml:space="preserve">25 calendar days BEFORE the date of sale</w:t>
      </w:r>
      <w:r>
        <w:rPr>
          <w:u w:val="single"/>
        </w:rPr>
        <w:t xml:space="preserve"> listed in the amended Notice of Trustee Sale</w:t>
      </w:r>
      <w:r>
        <w:rPr/>
        <w:t xml:space="preserv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w:t>
      </w:r>
      <w:r>
        <w:t>((</w:t>
      </w:r>
      <w:r>
        <w:rPr>
          <w:strike/>
        </w:rPr>
        <w:t xml:space="preserve">thirty</w:t>
      </w:r>
      <w:r>
        <w:t>))</w:t>
      </w:r>
      <w:r>
        <w:rPr/>
        <w:t xml:space="preserve"> </w:t>
      </w:r>
      <w:r>
        <w:rPr>
          <w:u w:val="single"/>
        </w:rPr>
        <w:t xml:space="preserve">30</w:t>
      </w:r>
      <w:r>
        <w:rPr/>
        <w:t xml:space="preserve">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w:t>
      </w:r>
      <w:r>
        <w:t>((</w:t>
      </w:r>
      <w:r>
        <w:rPr>
          <w:strike/>
        </w:rPr>
        <w:t xml:space="preserve">sixty</w:t>
      </w:r>
      <w:r>
        <w:t>))</w:t>
      </w:r>
      <w:r>
        <w:rPr/>
        <w:t xml:space="preserve"> </w:t>
      </w:r>
      <w:r>
        <w:rPr>
          <w:u w:val="single"/>
        </w:rPr>
        <w:t xml:space="preserve">60</w:t>
      </w:r>
      <w:r>
        <w:rPr/>
        <w:t xml:space="preserve"> days from the date of the request to present this documentation.</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w:t>
      </w:r>
      <w:r>
        <w:t>((</w:t>
      </w:r>
      <w:r>
        <w:rPr>
          <w:strike/>
        </w:rPr>
        <w:t xml:space="preserve">sixty</w:t>
      </w:r>
      <w:r>
        <w:t>))</w:t>
      </w:r>
      <w:r>
        <w:rPr/>
        <w:t xml:space="preserve"> </w:t>
      </w:r>
      <w:r>
        <w:rPr>
          <w:u w:val="single"/>
        </w:rPr>
        <w:t xml:space="preserve">60</w:t>
      </w:r>
      <w:r>
        <w:rPr/>
        <w:t xml:space="preserve"> days provided in (b) of this subsection, then the servicer or trustee must, within </w:t>
      </w:r>
      <w:r>
        <w:t>((</w:t>
      </w:r>
      <w:r>
        <w:rPr>
          <w:strike/>
        </w:rPr>
        <w:t xml:space="preserve">twenty</w:t>
      </w:r>
      <w:r>
        <w:t>))</w:t>
      </w:r>
      <w:r>
        <w:rPr/>
        <w:t xml:space="preserve"> </w:t>
      </w:r>
      <w:r>
        <w:rPr>
          <w:u w:val="single"/>
        </w:rPr>
        <w:t xml:space="preserve">20</w:t>
      </w:r>
      <w:r>
        <w:rPr/>
        <w:t xml:space="preserve">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2018 c 306 s 2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w:t>
      </w:r>
      <w:r>
        <w:t>((</w:t>
      </w:r>
      <w:r>
        <w:rPr>
          <w:strike/>
        </w:rPr>
        <w:t xml:space="preserve">ninety</w:t>
      </w:r>
      <w:r>
        <w:t>))</w:t>
      </w:r>
      <w:r>
        <w:rPr/>
        <w:t xml:space="preserve"> </w:t>
      </w:r>
      <w:r>
        <w:rPr>
          <w:u w:val="single"/>
        </w:rPr>
        <w:t xml:space="preserve">90</w:t>
      </w:r>
      <w:r>
        <w:rPr/>
        <w:t xml:space="preserve"> days before the sale, or if a letter under RCW 61.24.031 is required, at least </w:t>
      </w:r>
      <w:r>
        <w:t>((</w:t>
      </w:r>
      <w:r>
        <w:rPr>
          <w:strike/>
        </w:rPr>
        <w:t xml:space="preserve">one hundred twenty</w:t>
      </w:r>
      <w:r>
        <w:t>))</w:t>
      </w:r>
      <w:r>
        <w:rPr/>
        <w:t xml:space="preserve"> </w:t>
      </w:r>
      <w:r>
        <w:rPr>
          <w:u w:val="single"/>
        </w:rPr>
        <w:t xml:space="preserve">120</w:t>
      </w:r>
      <w:r>
        <w:rPr/>
        <w:t xml:space="preserve">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t>((</w:t>
      </w:r>
      <w:r>
        <w:rPr>
          <w:strike/>
        </w:rPr>
        <w:t xml:space="preserve">20 DAYS from the recording date on this notice to pursue mediation</w:t>
      </w:r>
      <w:r>
        <w:t>))</w:t>
      </w:r>
      <w:r>
        <w:rPr/>
        <w:t xml:space="preserve"> </w:t>
      </w:r>
      <w:r>
        <w:rPr>
          <w:b/>
          <w:u w:val="single"/>
        </w:rPr>
        <w:t xml:space="preserve">until 90 calendar days BEFORE the date of sale</w:t>
      </w:r>
      <w:r>
        <w:rPr>
          <w:u w:val="single"/>
        </w:rPr>
        <w:t xml:space="preserve"> listed in this Notice of Trustee Sale to be referred to mediation. If this is an amended Notice of Trustee Sale providing a 45-day notice of the sale, mediation must be requested no later than </w:t>
      </w:r>
      <w:r>
        <w:rPr>
          <w:b/>
          <w:u w:val="single"/>
        </w:rPr>
        <w:t xml:space="preserve">25 calendar days BEFORE the date of sale</w:t>
      </w:r>
      <w:r>
        <w:rPr>
          <w:u w:val="single"/>
        </w:rPr>
        <w:t xml:space="preserve"> listed in this amended Notice of Trustee Sale</w:t>
      </w:r>
      <w:r>
        <w:rPr/>
        <w:t xml:space="preserv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w:t>
      </w:r>
      <w:r>
        <w:t>((</w:t>
      </w:r>
      <w:r>
        <w:rPr>
          <w:strike/>
        </w:rPr>
        <w:t xml:space="preserve">ten</w:t>
      </w:r>
      <w:r>
        <w:t>))</w:t>
      </w:r>
      <w:r>
        <w:rPr/>
        <w:t xml:space="preserve"> </w:t>
      </w:r>
      <w:r>
        <w:rPr>
          <w:u w:val="single"/>
        </w:rPr>
        <w:t xml:space="preserve">10</w:t>
      </w:r>
      <w:r>
        <w:rPr/>
        <w:t xml:space="preserve">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w:t>
      </w:r>
      <w:r>
        <w:t>((</w:t>
      </w:r>
      <w:r>
        <w:rPr>
          <w:strike/>
        </w:rPr>
        <w:t xml:space="preserve">thirty-fifth</w:t>
      </w:r>
      <w:r>
        <w:t>))</w:t>
      </w:r>
      <w:r>
        <w:rPr/>
        <w:t xml:space="preserve"> </w:t>
      </w:r>
      <w:r>
        <w:rPr>
          <w:u w:val="single"/>
        </w:rPr>
        <w:t xml:space="preserve">35th</w:t>
      </w:r>
      <w:r>
        <w:rPr/>
        <w:t xml:space="preserve"> and </w:t>
      </w:r>
      <w:r>
        <w:t>((</w:t>
      </w:r>
      <w:r>
        <w:rPr>
          <w:strike/>
        </w:rPr>
        <w:t xml:space="preserve">twenty-eighth</w:t>
      </w:r>
      <w:r>
        <w:t>))</w:t>
      </w:r>
      <w:r>
        <w:rPr/>
        <w:t xml:space="preserve"> </w:t>
      </w:r>
      <w:r>
        <w:rPr>
          <w:u w:val="single"/>
        </w:rPr>
        <w:t xml:space="preserve">28th</w:t>
      </w:r>
      <w:r>
        <w:rPr/>
        <w:t xml:space="preserve"> day before the date of sale, and once on or between the </w:t>
      </w:r>
      <w:r>
        <w:t>((</w:t>
      </w:r>
      <w:r>
        <w:rPr>
          <w:strike/>
        </w:rPr>
        <w:t xml:space="preserve">fourteenth</w:t>
      </w:r>
      <w:r>
        <w:t>))</w:t>
      </w:r>
      <w:r>
        <w:rPr/>
        <w:t xml:space="preserve"> </w:t>
      </w:r>
      <w:r>
        <w:rPr>
          <w:u w:val="single"/>
        </w:rPr>
        <w:t xml:space="preserve">14th</w:t>
      </w:r>
      <w:r>
        <w:rPr/>
        <w:t xml:space="preserve">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w:t>
      </w:r>
      <w:r>
        <w:t>((</w:t>
      </w:r>
      <w:r>
        <w:rPr>
          <w:strike/>
        </w:rPr>
        <w:t xml:space="preserve">thirty</w:t>
      </w:r>
      <w:r>
        <w:t>))</w:t>
      </w:r>
      <w:r>
        <w:rPr/>
        <w:t xml:space="preserve"> </w:t>
      </w:r>
      <w:r>
        <w:rPr>
          <w:u w:val="single"/>
        </w:rPr>
        <w:t xml:space="preserve">30</w:t>
      </w:r>
      <w:r>
        <w:rPr/>
        <w:t xml:space="preserve">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w:t>
      </w:r>
      <w:r>
        <w:t>((</w:t>
      </w:r>
      <w:r>
        <w:rPr>
          <w:strike/>
        </w:rPr>
        <w:t xml:space="preserve">forty-five</w:t>
      </w:r>
      <w:r>
        <w:t>))</w:t>
      </w:r>
      <w:r>
        <w:rPr/>
        <w:t xml:space="preserve"> </w:t>
      </w:r>
      <w:r>
        <w:rPr>
          <w:u w:val="single"/>
        </w:rPr>
        <w:t xml:space="preserve">45</w:t>
      </w:r>
      <w:r>
        <w:rPr/>
        <w:t xml:space="preserve"> days before the scheduled sale must the servicer then provide the information in RCW 61.24.030(11)(c) to the claimant not less than </w:t>
      </w:r>
      <w:r>
        <w:t>((</w:t>
      </w:r>
      <w:r>
        <w:rPr>
          <w:strike/>
        </w:rPr>
        <w:t xml:space="preserve">twenty</w:t>
      </w:r>
      <w:r>
        <w:t>))</w:t>
      </w:r>
      <w:r>
        <w:rPr/>
        <w:t xml:space="preserve"> </w:t>
      </w:r>
      <w:r>
        <w:rPr>
          <w:u w:val="single"/>
        </w:rPr>
        <w:t xml:space="preserve">20</w:t>
      </w:r>
      <w:r>
        <w:rPr/>
        <w:t xml:space="preserve"> days prior to the sale.</w:t>
      </w:r>
    </w:p>
    <w:p>
      <w:pPr>
        <w:spacing w:before="0" w:after="0" w:line="408" w:lineRule="exact"/>
        <w:ind w:left="0" w:right="0" w:firstLine="576"/>
        <w:jc w:val="left"/>
      </w:pPr>
      <w:r>
        <w:rPr/>
        <w:t xml:space="preserve">(c) (b) of this subsection (7) does not apply to association beneficiaries subject to chapter 64.32, 64.34, or 64.38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w:t>
      </w:r>
      <w:r>
        <w:t>((</w:t>
      </w:r>
      <w:r>
        <w:rPr>
          <w:strike/>
        </w:rPr>
        <w:t xml:space="preserve">one hundred twenty</w:t>
      </w:r>
      <w:r>
        <w:t>))</w:t>
      </w:r>
      <w:r>
        <w:rPr/>
        <w:t xml:space="preserve"> </w:t>
      </w:r>
      <w:r>
        <w:rPr>
          <w:u w:val="single"/>
        </w:rPr>
        <w:t xml:space="preserve">120</w:t>
      </w:r>
      <w:r>
        <w:rPr/>
        <w:t xml:space="preserve">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w:t>
      </w:r>
      <w:r>
        <w:t>((</w:t>
      </w:r>
      <w:r>
        <w:rPr>
          <w:strike/>
        </w:rPr>
        <w:t xml:space="preserve">and on payment</w:t>
      </w:r>
      <w:r>
        <w:t>))</w:t>
      </w:r>
      <w:r>
        <w:rPr>
          <w:u w:val="single"/>
        </w:rPr>
        <w:t xml:space="preserve">. On payment and subject to RCW 61.24.050,</w:t>
      </w:r>
      <w:r>
        <w:rPr/>
        <w:t xml:space="preserve"> the trustee shall execute to the purchaser its deed</w:t>
      </w:r>
      <w:r>
        <w:t>((</w:t>
      </w:r>
      <w:r>
        <w:rPr>
          <w:strike/>
        </w:rPr>
        <w:t xml:space="preserve">; the</w:t>
      </w:r>
      <w:r>
        <w:t>))</w:t>
      </w:r>
      <w:r>
        <w:rPr>
          <w:u w:val="single"/>
        </w:rPr>
        <w:t xml:space="preserve">. The</w:t>
      </w:r>
      <w:r>
        <w:rPr/>
        <w:t xml:space="preserv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w:t>
      </w:r>
      <w:r>
        <w:t>((</w:t>
      </w:r>
      <w:r>
        <w:rPr>
          <w:strike/>
        </w:rPr>
        <w:t xml:space="preserve">one hundred ninety</w:t>
      </w:r>
      <w:r>
        <w:t>))</w:t>
      </w:r>
      <w:r>
        <w:rPr/>
        <w:t xml:space="preserve"> </w:t>
      </w:r>
      <w:r>
        <w:rPr>
          <w:u w:val="single"/>
        </w:rPr>
        <w:t xml:space="preserve">190</w:t>
      </w:r>
      <w:r>
        <w:rPr/>
        <w:t xml:space="preserve">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160</w:t>
      </w:r>
      <w:r>
        <w:rPr/>
        <w:t xml:space="preserve"> and 2012 c 185 s 5 are each amended to read as follows:</w:t>
      </w:r>
    </w:p>
    <w:p>
      <w:pPr>
        <w:spacing w:before="0" w:after="0" w:line="408" w:lineRule="exact"/>
        <w:ind w:left="0" w:right="0" w:firstLine="576"/>
        <w:jc w:val="left"/>
      </w:pPr>
      <w:r>
        <w:rPr/>
        <w:t xml:space="preserve">(1)(a) A housing counselor who is contacted by a borrower under RCW 61.24.031 has a duty to act in good faith to attempt to reach a resolution with the beneficiary on behalf of the borrower within the </w:t>
      </w:r>
      <w:r>
        <w:t>((</w:t>
      </w:r>
      <w:r>
        <w:rPr>
          <w:strike/>
        </w:rPr>
        <w:t xml:space="preserve">ninety</w:t>
      </w:r>
      <w:r>
        <w:t>))</w:t>
      </w:r>
      <w:r>
        <w:rPr/>
        <w:t xml:space="preserve"> </w:t>
      </w:r>
      <w:r>
        <w:rPr>
          <w:u w:val="single"/>
        </w:rPr>
        <w:t xml:space="preserve">90</w:t>
      </w:r>
      <w:r>
        <w:rPr/>
        <w:t xml:space="preserve"> days provided from the date the beneficiary initiates contact with the borrower and the date the notice of default is issued. A resolution may include, but is not limited to, modification of the loan, an agreement to conduct a short sale, a deed in lieu of foreclosure transaction, or some other workout plan.</w:t>
      </w:r>
    </w:p>
    <w:p>
      <w:pPr>
        <w:spacing w:before="0" w:after="0" w:line="408" w:lineRule="exact"/>
        <w:ind w:left="0" w:right="0" w:firstLine="576"/>
        <w:jc w:val="left"/>
      </w:pPr>
      <w:r>
        <w:rPr/>
        <w:t xml:space="preserve">(b) Nothing in RCW 61.24.031 or this section precludes a meeting or negotiations between the housing counselor, borrower, and beneficiary at any time, including after the issuance of the notice of default.</w:t>
      </w:r>
    </w:p>
    <w:p>
      <w:pPr>
        <w:spacing w:before="0" w:after="0" w:line="408" w:lineRule="exact"/>
        <w:ind w:left="0" w:right="0" w:firstLine="576"/>
        <w:jc w:val="left"/>
      </w:pPr>
      <w:r>
        <w:rPr/>
        <w:t xml:space="preserve">(c) A borrower who is contacted under RCW 61.24.031 may seek the assistance of a housing counselor or attorney at any time.</w:t>
      </w:r>
    </w:p>
    <w:p>
      <w:pPr>
        <w:spacing w:before="0" w:after="0" w:line="408" w:lineRule="exact"/>
        <w:ind w:left="0" w:right="0" w:firstLine="576"/>
        <w:jc w:val="left"/>
      </w:pPr>
      <w:r>
        <w:rPr/>
        <w:t xml:space="preserve">(2) Housing counselors have a duty to act in good faith to assist borrowers by:</w:t>
      </w:r>
    </w:p>
    <w:p>
      <w:pPr>
        <w:spacing w:before="0" w:after="0" w:line="408" w:lineRule="exact"/>
        <w:ind w:left="0" w:right="0" w:firstLine="576"/>
        <w:jc w:val="left"/>
      </w:pPr>
      <w:r>
        <w:rPr/>
        <w:t xml:space="preserve">(a) Preparing the borrower for meetings with the beneficiary;</w:t>
      </w:r>
    </w:p>
    <w:p>
      <w:pPr>
        <w:spacing w:before="0" w:after="0" w:line="408" w:lineRule="exact"/>
        <w:ind w:left="0" w:right="0" w:firstLine="576"/>
        <w:jc w:val="left"/>
      </w:pPr>
      <w:r>
        <w:rPr/>
        <w:t xml:space="preserve">(b) Advising the borrower about what documents the borrower must have to seek a loan modification or other resolution;</w:t>
      </w:r>
    </w:p>
    <w:p>
      <w:pPr>
        <w:spacing w:before="0" w:after="0" w:line="408" w:lineRule="exact"/>
        <w:ind w:left="0" w:right="0" w:firstLine="576"/>
        <w:jc w:val="left"/>
      </w:pPr>
      <w:r>
        <w:rPr/>
        <w:t xml:space="preserve">(c) Informing the borrower about the alternatives to foreclosure, including loan modifications or other possible resolutions; and</w:t>
      </w:r>
    </w:p>
    <w:p>
      <w:pPr>
        <w:spacing w:before="0" w:after="0" w:line="408" w:lineRule="exact"/>
        <w:ind w:left="0" w:right="0" w:firstLine="576"/>
        <w:jc w:val="left"/>
      </w:pPr>
      <w:r>
        <w:rPr/>
        <w:t xml:space="preserve">(d) Providing other guidance, advice, and education as the housing counselor considers necessary.</w:t>
      </w:r>
    </w:p>
    <w:p>
      <w:pPr>
        <w:spacing w:before="0" w:after="0" w:line="408" w:lineRule="exact"/>
        <w:ind w:left="0" w:right="0" w:firstLine="576"/>
        <w:jc w:val="left"/>
      </w:pPr>
      <w:r>
        <w:rPr/>
        <w:t xml:space="preserve">(3) A housing counselor or attorney assisting a borrower may refer the borrower to mediation, pursuant to RCW 61.24.163, if the housing counselor or attorney determines that mediation is appropriate based on the individual circumstances and the borrower has received a notice of default.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(4) For borrowers who have received a letter under RCW 61.24.031 before June 7, 2012, a referral to mediation by a housing counselor or attorney does not preclude a trustee issuing a notice of default if the requirements of RCW 61.24.031 have been met.</w:t>
      </w:r>
    </w:p>
    <w:p>
      <w:pPr>
        <w:spacing w:before="0" w:after="0" w:line="408" w:lineRule="exact"/>
        <w:ind w:left="0" w:right="0" w:firstLine="576"/>
        <w:jc w:val="left"/>
      </w:pPr>
      <w:r>
        <w:rPr/>
        <w:t xml:space="preserve">(5) Housing counselors providing assistance to borrowers under RCW 61.24.031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(6) Housing counselors shall provide information to the department to assist the department in its annual report to the legislature as required under RCW 61.24.163(18). The information provided to the department by the housing counselors should include outcomes of foreclosures and be similar to the information requested in the national foreclosure mortgage counseling client level foreclosure outcomes report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w:t>
      </w:r>
      <w:r>
        <w:t>((</w:t>
      </w:r>
      <w:r>
        <w:rPr>
          <w:strike/>
        </w:rPr>
        <w:t xml:space="preserve">ten</w:t>
      </w:r>
      <w:r>
        <w:t>))</w:t>
      </w:r>
      <w:r>
        <w:rPr/>
        <w:t xml:space="preserve"> </w:t>
      </w:r>
      <w:r>
        <w:rPr>
          <w:u w:val="single"/>
        </w:rPr>
        <w:t xml:space="preserve">10</w:t>
      </w:r>
      <w:r>
        <w:rPr/>
        <w:t xml:space="preserve">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w:t>
      </w:r>
      <w:r>
        <w:t>((</w:t>
      </w:r>
      <w:r>
        <w:rPr>
          <w:strike/>
        </w:rPr>
        <w:t xml:space="preserve">twenty</w:t>
      </w:r>
      <w:r>
        <w:rPr/>
        <w:noBreakHyphen/>
      </w:r>
      <w:r>
        <w:rPr>
          <w:strike/>
        </w:rPr>
        <w:t xml:space="preserve">three</w:t>
      </w:r>
      <w:r>
        <w:t>))</w:t>
      </w:r>
      <w:r>
        <w:rPr/>
        <w:t xml:space="preserve"> </w:t>
      </w:r>
      <w:r>
        <w:rPr>
          <w:u w:val="single"/>
        </w:rPr>
        <w:t xml:space="preserve">23</w:t>
      </w:r>
      <w:r>
        <w:rPr/>
        <w:t xml:space="preserv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w:t>
      </w:r>
      <w:r>
        <w:t>((</w:t>
      </w:r>
      <w:r>
        <w:rPr>
          <w:strike/>
        </w:rPr>
        <w:t xml:space="preserve">twenty</w:t>
      </w:r>
      <w:r>
        <w:t>))</w:t>
      </w:r>
      <w:r>
        <w:rPr/>
        <w:t xml:space="preserve"> </w:t>
      </w:r>
      <w:r>
        <w:rPr>
          <w:u w:val="single"/>
        </w:rPr>
        <w:t xml:space="preserve">20</w:t>
      </w:r>
      <w:r>
        <w:rPr/>
        <w:t xml:space="preserve">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w:t>
      </w:r>
      <w:r>
        <w:t>((</w:t>
      </w:r>
      <w:r>
        <w:rPr>
          <w:strike/>
        </w:rPr>
        <w:t xml:space="preserve">thirty</w:t>
      </w:r>
      <w:r>
        <w:t>))</w:t>
      </w:r>
      <w:r>
        <w:rPr/>
        <w:t xml:space="preserve"> </w:t>
      </w:r>
      <w:r>
        <w:rPr>
          <w:u w:val="single"/>
        </w:rPr>
        <w:t xml:space="preserve">30</w:t>
      </w:r>
      <w:r>
        <w:rPr/>
        <w:t xml:space="preserve">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w:t>
      </w:r>
      <w:r>
        <w:t>((</w:t>
      </w:r>
      <w:r>
        <w:rPr>
          <w:strike/>
        </w:rPr>
        <w:t xml:space="preserve">ninety</w:t>
      </w:r>
      <w:r>
        <w:t>))</w:t>
      </w:r>
      <w:r>
        <w:rPr/>
        <w:t xml:space="preserve"> </w:t>
      </w:r>
      <w:r>
        <w:rPr>
          <w:u w:val="single"/>
        </w:rPr>
        <w:t xml:space="preserve">90</w:t>
      </w:r>
      <w:r>
        <w:rPr/>
        <w:t xml:space="preserve">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w:t>
      </w:r>
      <w:r>
        <w:t>((</w:t>
      </w:r>
      <w:r>
        <w:rPr>
          <w:strike/>
        </w:rPr>
        <w:t xml:space="preserve">seventy</w:t>
      </w:r>
      <w:r>
        <w:t>))</w:t>
      </w:r>
      <w:r>
        <w:rPr/>
        <w:t xml:space="preserve"> </w:t>
      </w:r>
      <w:r>
        <w:rPr>
          <w:u w:val="single"/>
        </w:rPr>
        <w:t xml:space="preserve">70</w:t>
      </w:r>
      <w:r>
        <w:rPr/>
        <w:t xml:space="preserve">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w:t>
      </w:r>
      <w:r>
        <w:t>((</w:t>
      </w:r>
      <w:r>
        <w:rPr>
          <w:strike/>
        </w:rPr>
        <w:t xml:space="preserve">thirty</w:t>
      </w:r>
      <w:r>
        <w:t>))</w:t>
      </w:r>
      <w:r>
        <w:rPr/>
        <w:t xml:space="preserve"> </w:t>
      </w:r>
      <w:r>
        <w:rPr>
          <w:u w:val="single"/>
        </w:rPr>
        <w:t xml:space="preserve">30</w:t>
      </w:r>
      <w:r>
        <w:rPr/>
        <w:t xml:space="preserve">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w:t>
      </w:r>
      <w:r>
        <w:t>((</w:t>
      </w:r>
      <w:r>
        <w:rPr>
          <w:strike/>
        </w:rPr>
        <w:t xml:space="preserve">sixty</w:t>
      </w:r>
      <w:r>
        <w:t>))</w:t>
      </w:r>
      <w:r>
        <w:rPr/>
        <w:t xml:space="preserve"> </w:t>
      </w:r>
      <w:r>
        <w:rPr>
          <w:u w:val="single"/>
        </w:rPr>
        <w:t xml:space="preserve">60</w:t>
      </w:r>
      <w:r>
        <w:rPr/>
        <w:t xml:space="preserve">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w:t>
      </w:r>
      <w:r>
        <w:t>((</w:t>
      </w:r>
      <w:r>
        <w:rPr>
          <w:strike/>
        </w:rPr>
        <w:t xml:space="preserve">ten</w:t>
      </w:r>
      <w:r>
        <w:t>))</w:t>
      </w:r>
      <w:r>
        <w:rPr/>
        <w:t xml:space="preserve"> </w:t>
      </w:r>
      <w:r>
        <w:rPr>
          <w:u w:val="single"/>
        </w:rPr>
        <w:t xml:space="preserve">10</w:t>
      </w:r>
      <w:r>
        <w:rPr/>
        <w:t xml:space="preserve">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w:t>
      </w:r>
      <w:r>
        <w:t>((</w:t>
      </w:r>
      <w:r>
        <w:rPr>
          <w:strike/>
        </w:rPr>
        <w:t xml:space="preserve">four hundred dollars</w:t>
      </w:r>
      <w:r>
        <w:t>))</w:t>
      </w:r>
      <w:r>
        <w:rPr/>
        <w:t xml:space="preserve"> </w:t>
      </w:r>
      <w:r>
        <w:rPr>
          <w:u w:val="single"/>
        </w:rPr>
        <w:t xml:space="preserve">$400</w:t>
      </w:r>
      <w:r>
        <w:rPr/>
        <w:t xml:space="preserve">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w:t>
      </w:r>
      <w:r>
        <w:t>((</w:t>
      </w:r>
      <w:r>
        <w:rPr>
          <w:strike/>
        </w:rPr>
        <w:t xml:space="preserve">thirty</w:t>
      </w:r>
      <w:r>
        <w:t>))</w:t>
      </w:r>
      <w:r>
        <w:rPr/>
        <w:t xml:space="preserve"> </w:t>
      </w:r>
      <w:r>
        <w:rPr>
          <w:u w:val="single"/>
        </w:rPr>
        <w:t xml:space="preserve">30</w:t>
      </w:r>
      <w:r>
        <w:rPr/>
        <w:t xml:space="preserve">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u w:val="single"/>
        </w:rPr>
        <w:t xml:space="preserve">(19) This section does not apply to certain federally insured depository institutions, as specified in RCW 61.24.166.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2021 c 151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64.32, 64.34, or 64.38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w:t>
      </w:r>
      <w:r>
        <w:t>((</w:t>
      </w:r>
      <w:r>
        <w:rPr>
          <w:strike/>
        </w:rPr>
        <w:t xml:space="preserve">who occupies the property as his or her primary residence</w:t>
      </w:r>
      <w:r>
        <w:t>))</w:t>
      </w:r>
      <w:r>
        <w:rPr/>
        <w:t xml:space="preserv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2021 c 151 s 7 are each amended to read as follows:</w:t>
      </w:r>
    </w:p>
    <w:p>
      <w:pPr>
        <w:spacing w:before="0" w:after="0" w:line="408" w:lineRule="exact"/>
        <w:ind w:left="0" w:right="0" w:firstLine="576"/>
        <w:jc w:val="left"/>
      </w:pPr>
      <w:r>
        <w:rPr>
          <w:u w:val="single"/>
        </w:rPr>
        <w:t xml:space="preserve">(1)</w:t>
      </w:r>
      <w:r>
        <w:rPr/>
        <w:t xml:space="preserve"> Beginning on January 1, </w:t>
      </w:r>
      <w:r>
        <w:t>((</w:t>
      </w:r>
      <w:r>
        <w:rPr>
          <w:strike/>
        </w:rPr>
        <w:t xml:space="preserve">2023</w:t>
      </w:r>
      <w:r>
        <w:t>))</w:t>
      </w:r>
      <w:r>
        <w:rPr/>
        <w:t xml:space="preserve"> </w:t>
      </w:r>
      <w:r>
        <w:rPr>
          <w:u w:val="single"/>
        </w:rPr>
        <w:t xml:space="preserve">2024</w:t>
      </w:r>
      <w:r>
        <w:rPr/>
        <w:t xml:space="preserve">, the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residential real property of up to four units that occurred in this state during the preceding calendar year. A federally insured depository institution certifying that RCW 61.24.163 does not apply must do so annually, beginning no later than January 31, </w:t>
      </w:r>
      <w:r>
        <w:t>((</w:t>
      </w:r>
      <w:r>
        <w:rPr>
          <w:strike/>
        </w:rPr>
        <w:t xml:space="preserve">2023</w:t>
      </w:r>
      <w:r>
        <w:t>))</w:t>
      </w:r>
      <w:r>
        <w:rPr/>
        <w:t xml:space="preserve"> </w:t>
      </w:r>
      <w:r>
        <w:rPr>
          <w:u w:val="single"/>
        </w:rPr>
        <w:t xml:space="preserve">2024</w:t>
      </w:r>
      <w:r>
        <w:rPr/>
        <w:t xml:space="preserve">, and no later than January 31st of each year thereafter.</w:t>
      </w:r>
    </w:p>
    <w:p>
      <w:pPr>
        <w:spacing w:before="0" w:after="0" w:line="408" w:lineRule="exact"/>
        <w:ind w:left="0" w:right="0" w:firstLine="576"/>
        <w:jc w:val="left"/>
      </w:pPr>
      <w:r>
        <w:rPr>
          <w:u w:val="single"/>
        </w:rPr>
        <w:t xml:space="preserve">(2) During the 2023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u w:val="single"/>
        </w:rPr>
        <w:t xml:space="preserve">(3) This section applies retroactively to January 1, 2023, and prospectively beginning with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2021 c 151 s 11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w:t>
      </w:r>
      <w:r>
        <w:rPr>
          <w:u w:val="single"/>
        </w:rPr>
        <w:t xml:space="preserve">(a)</w:t>
      </w:r>
      <w:r>
        <w:rPr/>
        <w:t xml:space="preserve">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u w:val="single"/>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u w:val="single"/>
        </w:rPr>
        <w:t xml:space="preserve">(c) This subsection (6) applies retroactively to January 1, 2023, and prospectively beginning with the effective date of this section.</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trustee shall continue a foreclosure sale for at least 30 days upon receipt of a written notice from the homeowner assistance fund program administered by the Washington state housing finance commission that an application has been submitted to the homeowner assistance fund program on behalf of the applicant.</w:t>
      </w:r>
    </w:p>
    <w:p>
      <w:pPr>
        <w:spacing w:before="0" w:after="0" w:line="408" w:lineRule="exact"/>
        <w:ind w:left="0" w:right="0" w:firstLine="576"/>
        <w:jc w:val="left"/>
      </w:pPr>
      <w:r>
        <w:rPr/>
        <w:t xml:space="preserve">(b) The trustee shall continue the foreclosure sale for an additional 30-day period upon receipt of a written notice from the homeowner assistance fund program that the applicant is deemed eligible for the program.</w:t>
      </w:r>
    </w:p>
    <w:p>
      <w:pPr>
        <w:spacing w:before="0" w:after="0" w:line="408" w:lineRule="exact"/>
        <w:ind w:left="0" w:right="0" w:firstLine="576"/>
        <w:jc w:val="left"/>
      </w:pPr>
      <w:r>
        <w:rPr/>
        <w:t xml:space="preserve">(c) An automated notice issued by the homeowner assistance fund program does not qualify as written notice required in this section.</w:t>
      </w:r>
    </w:p>
    <w:p>
      <w:pPr>
        <w:spacing w:before="0" w:after="0" w:line="408" w:lineRule="exact"/>
        <w:ind w:left="0" w:right="0" w:firstLine="576"/>
        <w:jc w:val="left"/>
      </w:pPr>
      <w:r>
        <w:rPr/>
        <w:t xml:space="preserve">(2)(a) If an application to the homeowner assistance fund program is approved in the amount that would cure the default and make the beneficiary whole, a sale may not proceed while the approved application is pending for payment.</w:t>
      </w:r>
    </w:p>
    <w:p>
      <w:pPr>
        <w:spacing w:before="0" w:after="0" w:line="408" w:lineRule="exact"/>
        <w:ind w:left="0" w:right="0" w:firstLine="576"/>
        <w:jc w:val="left"/>
      </w:pPr>
      <w:r>
        <w:rPr/>
        <w:t xml:space="preserve">(b) A sale may proceed if the homeowner assistance fund program issues a written confirmation that an application has been denied or that no funds from the program will be paid in response to the application, and that any appeal process available to the applicant has been exhausted and is no longer pending.</w:t>
      </w:r>
    </w:p>
    <w:p>
      <w:pPr>
        <w:spacing w:before="0" w:after="0" w:line="408" w:lineRule="exact"/>
        <w:ind w:left="0" w:right="0" w:firstLine="576"/>
        <w:jc w:val="left"/>
      </w:pPr>
      <w:r>
        <w:rPr/>
        <w:t xml:space="preserve">(3) The trustee has no duty to delay a sale if the applicant has already received a continuance based on prior application to the homeowner assistance fund program, unless the applicant demonstrates to the trustee that a new application is pending based upon a substantial change in circumstances supporting a new application and that it has not been submitted solely for the purpose of delaying the sale.</w:t>
      </w:r>
    </w:p>
    <w:p>
      <w:pPr>
        <w:spacing w:before="0" w:after="0" w:line="408" w:lineRule="exact"/>
        <w:ind w:left="0" w:right="0" w:firstLine="576"/>
        <w:jc w:val="left"/>
      </w:pPr>
      <w:r>
        <w:rPr/>
        <w:t xml:space="preserve">(4)(a) The trustee must comply with the process set forth in RCW 61.24.040(1) for giving notice of the continued sale.</w:t>
      </w:r>
    </w:p>
    <w:p>
      <w:pPr>
        <w:spacing w:before="0" w:after="0" w:line="408" w:lineRule="exact"/>
        <w:ind w:left="0" w:right="0" w:firstLine="576"/>
        <w:jc w:val="left"/>
      </w:pPr>
      <w:r>
        <w:rPr/>
        <w:t xml:space="preserve">(b) A continuance of a sale pursuant to this section may not be included in calculating the maximum sale continuance period of 120 days established in RCW 61.24.040(10).</w:t>
      </w:r>
    </w:p>
    <w:p>
      <w:pPr>
        <w:spacing w:before="0" w:after="0" w:line="408" w:lineRule="exact"/>
        <w:ind w:left="0" w:right="0" w:firstLine="576"/>
        <w:jc w:val="left"/>
      </w:pPr>
      <w:r>
        <w:rPr/>
        <w:t xml:space="preserve">(5) For purposes of this section, "applicant" means a person who:</w:t>
      </w:r>
    </w:p>
    <w:p>
      <w:pPr>
        <w:spacing w:before="0" w:after="0" w:line="408" w:lineRule="exact"/>
        <w:ind w:left="0" w:right="0" w:firstLine="576"/>
        <w:jc w:val="left"/>
      </w:pPr>
      <w:r>
        <w:rPr/>
        <w:t xml:space="preserve">(a) Is the borrower, a successor in interest to a deceased borrower, or a person who has been awarded title to the property; and</w:t>
      </w:r>
    </w:p>
    <w:p>
      <w:pPr>
        <w:spacing w:before="0" w:after="0" w:line="408" w:lineRule="exact"/>
        <w:ind w:left="0" w:right="0" w:firstLine="576"/>
        <w:jc w:val="left"/>
      </w:pPr>
      <w:r>
        <w:rPr/>
        <w:t xml:space="preserve">(b) Has submitted an application to the homeowner assistance fund program or on whose behalf an application to the program has been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expires upon the expiration and permanent closure of the homeowner assistance fund program.</w:t>
      </w:r>
    </w:p>
    <w:p>
      <w:pPr>
        <w:spacing w:before="0" w:after="0" w:line="408" w:lineRule="exact"/>
        <w:ind w:left="0" w:right="0" w:firstLine="576"/>
        <w:jc w:val="left"/>
      </w:pPr>
      <w:r>
        <w:rPr/>
        <w:t xml:space="preserve">(2) The Washington state housing finance commission must provide written notice of the expiration date of section 9 of this act to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10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912f3c9ff3054b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9bb90d2484551" /><Relationship Type="http://schemas.openxmlformats.org/officeDocument/2006/relationships/footer" Target="/word/footer1.xml" Id="R912f3c9ff3054b39" /></Relationships>
</file>