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4a66522404b59" /></Relationships>
</file>

<file path=word/document.xml><?xml version="1.0" encoding="utf-8"?>
<w:document xmlns:w="http://schemas.openxmlformats.org/wordprocessingml/2006/main">
  <w:body>
    <w:p>
      <w:r>
        <w:t>H-0015.2</w:t>
      </w:r>
    </w:p>
    <w:p>
      <w:pPr>
        <w:jc w:val="center"/>
      </w:pPr>
      <w:r>
        <w:t>_______________________________________________</w:t>
      </w:r>
    </w:p>
    <w:p/>
    <w:p>
      <w:pPr>
        <w:jc w:val="center"/>
      </w:pPr>
      <w:r>
        <w:rPr>
          <w:b/>
        </w:rPr>
        <w:t>HOUSE BILL 1350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Hutchins, Christian, Duerr, Leavitt, Senn, Stokesbary, Barkis, Gregerson, and Pollet</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multifamily tax exemption program to include converting existing multifamily units; amending RCW 84.14.010 and 84.14.020; adding new sections to chapter 84.14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w:t>
      </w:r>
      <w:r>
        <w:t>((</w:t>
      </w:r>
      <w:r>
        <w:rPr>
          <w:strike/>
        </w:rPr>
        <w:t xml:space="preserve">thirty</w:t>
      </w:r>
      <w:r>
        <w:t>))</w:t>
      </w:r>
      <w:r>
        <w:rPr/>
        <w:t xml:space="preserve"> </w:t>
      </w:r>
      <w:r>
        <w:rPr>
          <w:u w:val="single"/>
        </w:rPr>
        <w:t xml:space="preserve">30</w:t>
      </w:r>
      <w:r>
        <w:rPr/>
        <w:t xml:space="preserve">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w:t>
      </w:r>
      <w:r>
        <w:t>((</w:t>
      </w:r>
      <w:r>
        <w:rPr>
          <w:strike/>
        </w:rPr>
        <w:t xml:space="preserve">fifteen thousand</w:t>
      </w:r>
      <w:r>
        <w:t>))</w:t>
      </w:r>
      <w:r>
        <w:rPr/>
        <w:t xml:space="preserve"> </w:t>
      </w:r>
      <w:r>
        <w:rPr>
          <w:u w:val="single"/>
        </w:rPr>
        <w:t xml:space="preserve">15,000</w:t>
      </w:r>
      <w:r>
        <w:rPr/>
        <w:t xml:space="preserve">, (b) the largest city or town, if there is no city or town with a population of at least </w:t>
      </w:r>
      <w:r>
        <w:t>((</w:t>
      </w:r>
      <w:r>
        <w:rPr>
          <w:strike/>
        </w:rPr>
        <w:t xml:space="preserve">fifteen thousand</w:t>
      </w:r>
      <w:r>
        <w:t>))</w:t>
      </w:r>
      <w:r>
        <w:rPr/>
        <w:t xml:space="preserve"> </w:t>
      </w:r>
      <w:r>
        <w:rPr>
          <w:u w:val="single"/>
        </w:rPr>
        <w:t xml:space="preserve">15,000</w:t>
      </w:r>
      <w:r>
        <w:rPr/>
        <w:t xml:space="preserve">, located in a county planning under the growth management act, (c) a city or town with a population of at least </w:t>
      </w:r>
      <w:r>
        <w:t>((</w:t>
      </w:r>
      <w:r>
        <w:rPr>
          <w:strike/>
        </w:rPr>
        <w:t xml:space="preserve">five thousand</w:t>
      </w:r>
      <w:r>
        <w:t>))</w:t>
      </w:r>
      <w:r>
        <w:rPr/>
        <w:t xml:space="preserve"> </w:t>
      </w:r>
      <w:r>
        <w:rPr>
          <w:u w:val="single"/>
        </w:rPr>
        <w:t xml:space="preserve">5,000</w:t>
      </w:r>
      <w:r>
        <w:rPr/>
        <w:t xml:space="preserve">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committing existing units within multiple unit housing facilities that are no older than 15 years at the time the exemption is granted to housing low-income households.</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 "Low-income conversion target area" means an area within an urban center or urban growth area that has been designated by the governing authority as a target area to commit existing units to low-income households in accordance with this chapter. </w:t>
      </w:r>
    </w:p>
    <w:p>
      <w:pPr>
        <w:spacing w:before="0" w:after="0" w:line="408" w:lineRule="exact"/>
        <w:ind w:left="0" w:right="0" w:firstLine="576"/>
        <w:jc w:val="left"/>
      </w:pPr>
      <w:r>
        <w:rPr>
          <w:u w:val="single"/>
        </w:rPr>
        <w:t xml:space="preserve">(10)</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"Moderate</w:t>
      </w:r>
      <w:r>
        <w:rPr/>
        <w:noBreakHyphen/>
      </w:r>
      <w:r>
        <w:rPr/>
        <w:t xml:space="preserve">income household" means a single person, family, or unrelated persons living together whose adjusted income is more than </w:t>
      </w:r>
      <w:r>
        <w:t>((</w:t>
      </w:r>
      <w:r>
        <w:rPr>
          <w:strike/>
        </w:rPr>
        <w:t xml:space="preserve">eighty</w:t>
      </w:r>
      <w:r>
        <w:t>))</w:t>
      </w:r>
      <w:r>
        <w:rPr/>
        <w:t xml:space="preserve"> </w:t>
      </w:r>
      <w:r>
        <w:rPr>
          <w:u w:val="single"/>
        </w:rPr>
        <w:t xml:space="preserve">80</w:t>
      </w:r>
      <w:r>
        <w:rPr/>
        <w:t xml:space="preserve"> percent but is at or below </w:t>
      </w:r>
      <w:r>
        <w:t>((</w:t>
      </w:r>
      <w:r>
        <w:rPr>
          <w:strike/>
        </w:rPr>
        <w:t xml:space="preserve">one hundred fifteen</w:t>
      </w:r>
      <w:r>
        <w:t>))</w:t>
      </w:r>
      <w:r>
        <w:rPr/>
        <w:t xml:space="preserve"> </w:t>
      </w:r>
      <w:r>
        <w:rPr>
          <w:u w:val="single"/>
        </w:rPr>
        <w:t xml:space="preserve">115</w:t>
      </w:r>
      <w:r>
        <w:rPr/>
        <w:t xml:space="preserve">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"Multiple-unit housing" means a building or a group of buildings having four or more dwelling units not designed or used as transient accommodations and not including hotels and motels. Multifamily units may result from new construction </w:t>
      </w:r>
      <w:r>
        <w:t>((</w:t>
      </w:r>
      <w:r>
        <w:rPr>
          <w:strike/>
        </w:rPr>
        <w:t xml:space="preserve">or</w:t>
      </w:r>
      <w:r>
        <w:t>))</w:t>
      </w:r>
      <w:r>
        <w:rPr>
          <w:u w:val="single"/>
        </w:rPr>
        <w:t xml:space="preserve">,</w:t>
      </w:r>
      <w:r>
        <w:rPr/>
        <w:t xml:space="preserve"> rehabilitated</w:t>
      </w:r>
      <w:r>
        <w:rPr>
          <w:u w:val="single"/>
        </w:rPr>
        <w:t xml:space="preserve">,</w:t>
      </w:r>
      <w:r>
        <w:rPr/>
        <w:t xml:space="preserve"> or conversion of vacant, underutilized, or substandard buildings to multifamily housing</w:t>
      </w:r>
      <w:r>
        <w:rPr>
          <w:u w:val="single"/>
        </w:rPr>
        <w:t xml:space="preserve">, or converting units in existing buildings to low-income housing units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"Rehabilitation improvements" means modifications to existing structures, that are vacant for </w:t>
      </w:r>
      <w:r>
        <w:t>((</w:t>
      </w:r>
      <w:r>
        <w:rPr>
          <w:strike/>
        </w:rPr>
        <w:t xml:space="preserve">twelve</w:t>
      </w:r>
      <w:r>
        <w:t>))</w:t>
      </w:r>
      <w:r>
        <w:rPr/>
        <w:t xml:space="preserve"> </w:t>
      </w:r>
      <w:r>
        <w:rPr>
          <w:u w:val="single"/>
        </w:rPr>
        <w:t xml:space="preserve">12</w:t>
      </w:r>
      <w:r>
        <w:rPr/>
        <w:t xml:space="preser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"Rural county" means a county with a population between </w:t>
      </w:r>
      <w:r>
        <w:t>((</w:t>
      </w:r>
      <w:r>
        <w:rPr>
          <w:strike/>
        </w:rPr>
        <w:t xml:space="preserve">fifty thousand</w:t>
      </w:r>
      <w:r>
        <w:t>))</w:t>
      </w:r>
      <w:r>
        <w:rPr/>
        <w:t xml:space="preserve"> </w:t>
      </w:r>
      <w:r>
        <w:rPr>
          <w:u w:val="single"/>
        </w:rPr>
        <w:t xml:space="preserve">50,000</w:t>
      </w:r>
      <w:r>
        <w:rPr/>
        <w:t xml:space="preserve"> and </w:t>
      </w:r>
      <w:r>
        <w:t>((</w:t>
      </w:r>
      <w:r>
        <w:rPr>
          <w:strike/>
        </w:rPr>
        <w:t xml:space="preserve">seventy-one thousand</w:t>
      </w:r>
      <w:r>
        <w:t>))</w:t>
      </w:r>
      <w:r>
        <w:rPr/>
        <w:t xml:space="preserve"> </w:t>
      </w:r>
      <w:r>
        <w:rPr>
          <w:u w:val="single"/>
        </w:rPr>
        <w:t xml:space="preserve">71,000</w:t>
      </w:r>
      <w:r>
        <w:rPr/>
        <w:t xml:space="preserve">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w:t>
      </w:r>
      <w:r>
        <w:t>((</w:t>
      </w:r>
      <w:r>
        <w:rPr>
          <w:strike/>
        </w:rPr>
        <w:t xml:space="preserve">conversion</w:t>
      </w:r>
      <w:r>
        <w:t>))</w:t>
      </w:r>
      <w:r>
        <w:rPr/>
        <w:t xml:space="preserve"> </w:t>
      </w:r>
      <w:r>
        <w:rPr>
          <w:u w:val="single"/>
        </w:rPr>
        <w:t xml:space="preserve">buildings containing units within being converted to units for low-income households</w:t>
      </w:r>
      <w:r>
        <w:rPr/>
        <w:t xml:space="preserve">,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w:t>
      </w:r>
      <w:r>
        <w:t>((</w:t>
      </w:r>
      <w:r>
        <w:rPr>
          <w:strike/>
        </w:rPr>
        <w:t xml:space="preserve">ten</w:t>
      </w:r>
      <w:r>
        <w:t>))</w:t>
      </w:r>
      <w:r>
        <w:rPr/>
        <w:t xml:space="preserve"> </w:t>
      </w:r>
      <w:r>
        <w:rPr>
          <w:u w:val="single"/>
        </w:rPr>
        <w:t xml:space="preserve">10</w:t>
      </w:r>
      <w:r>
        <w:rPr/>
        <w:t xml:space="preserve"> successive years beginning January 1</w:t>
      </w:r>
      <w:r>
        <w:rPr>
          <w:u w:val="single"/>
        </w:rPr>
        <w:t xml:space="preserve">st</w:t>
      </w:r>
      <w:r>
        <w:rPr/>
        <w:t xml:space="preserve"> of the year immediately following the calendar year of issuance of the certificate;</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w:t>
      </w:r>
    </w:p>
    <w:p>
      <w:pPr>
        <w:spacing w:before="0" w:after="0" w:line="408" w:lineRule="exact"/>
        <w:ind w:left="0" w:right="0" w:firstLine="576"/>
        <w:jc w:val="left"/>
      </w:pPr>
      <w:r>
        <w:rPr/>
        <w:t xml:space="preserve">(B)</w:t>
      </w:r>
      <w:r>
        <w:rPr>
          <w:u w:val="single"/>
        </w:rPr>
        <w:t xml:space="preserve">(I)</w:t>
      </w:r>
      <w:r>
        <w:rPr/>
        <w:t xml:space="preserve"> For </w:t>
      </w:r>
      <w:r>
        <w:t>((</w:t>
      </w:r>
      <w:r>
        <w:rPr>
          <w:strike/>
        </w:rPr>
        <w:t xml:space="preserve">twelve</w:t>
      </w:r>
      <w:r>
        <w:t>))</w:t>
      </w:r>
      <w:r>
        <w:rPr/>
        <w:t xml:space="preserve"> </w:t>
      </w:r>
      <w:r>
        <w:rPr>
          <w:u w:val="single"/>
        </w:rPr>
        <w:t xml:space="preserve">12</w:t>
      </w:r>
      <w:r>
        <w:rPr/>
        <w:t xml:space="preserve"> successive years beginning January 1st of the year immediately following the calendar year of issuance of the certificate, if the property otherwise qualifies for the exemption under this chapter and meets the conditions in this subsection (1)(a)(ii)(B)</w:t>
      </w:r>
      <w:r>
        <w:rPr>
          <w:u w:val="single"/>
        </w:rPr>
        <w:t xml:space="preserve">(I)</w:t>
      </w:r>
      <w:r>
        <w:rPr/>
        <w:t xml:space="preserve">. </w:t>
      </w:r>
      <w:r>
        <w:t>((</w:t>
      </w:r>
      <w:r>
        <w:rPr>
          <w:strike/>
        </w:rPr>
        <w:t xml:space="preserve">For</w:t>
      </w:r>
      <w:r>
        <w:t>))</w:t>
      </w:r>
      <w:r>
        <w:rPr/>
        <w:t xml:space="preserve"> </w:t>
      </w:r>
      <w:r>
        <w:rPr>
          <w:u w:val="single"/>
        </w:rPr>
        <w:t xml:space="preserve">Except as provided in this subsection (1)(a)(ii)(B)(II), for</w:t>
      </w:r>
      <w:r>
        <w:rPr/>
        <w:t xml:space="preserve"> the property to qualify for the </w:t>
      </w:r>
      <w:r>
        <w:t>((</w:t>
      </w:r>
      <w:r>
        <w:rPr>
          <w:strike/>
        </w:rPr>
        <w:t xml:space="preserve">twelve-year</w:t>
      </w:r>
      <w:r>
        <w:t>))</w:t>
      </w:r>
      <w:r>
        <w:rPr/>
        <w:t xml:space="preserve"> </w:t>
      </w:r>
      <w:r>
        <w:rPr>
          <w:u w:val="single"/>
        </w:rPr>
        <w:t xml:space="preserve">12-year</w:t>
      </w:r>
      <w:r>
        <w:rPr/>
        <w:t xml:space="preserve"> exemption under this subsection, the applicant must commit to renting or selling at least </w:t>
      </w:r>
      <w:r>
        <w:t>((</w:t>
      </w:r>
      <w:r>
        <w:rPr>
          <w:strike/>
        </w:rPr>
        <w:t xml:space="preserve">twenty</w:t>
      </w:r>
      <w:r>
        <w:t>))</w:t>
      </w:r>
      <w:r>
        <w:rPr/>
        <w:t xml:space="preserve"> </w:t>
      </w:r>
      <w:r>
        <w:rPr>
          <w:u w:val="single"/>
        </w:rPr>
        <w:t xml:space="preserve">20</w:t>
      </w:r>
      <w:r>
        <w:rPr/>
        <w:t xml:space="preserve">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w:t>
      </w:r>
      <w:r>
        <w:rPr>
          <w:u w:val="single"/>
        </w:rPr>
        <w:t xml:space="preserve">(I)</w:t>
      </w:r>
      <w:r>
        <w:rPr/>
        <w:t xml:space="preserve"> may be satisfied solely through housing affordable to moderate</w:t>
      </w:r>
      <w:r>
        <w:rPr/>
        <w:noBreakHyphen/>
      </w:r>
      <w:r>
        <w:rPr/>
        <w:t xml:space="preserve">income households;</w:t>
      </w:r>
    </w:p>
    <w:p>
      <w:pPr>
        <w:spacing w:before="0" w:after="0" w:line="408" w:lineRule="exact"/>
        <w:ind w:left="0" w:right="0" w:firstLine="576"/>
        <w:jc w:val="left"/>
      </w:pPr>
      <w:r>
        <w:rPr>
          <w:u w:val="single"/>
        </w:rPr>
        <w:t xml:space="preserve">(II) Only in cities located in a county with a population greater than 300,000 in areas that have designated a low-income conversion target area, for an existing multiple unit property that is converting existing units to affordable housing to qualify for the 12-year exemption under this subsection, the applicant must:</w:t>
      </w:r>
    </w:p>
    <w:p>
      <w:pPr>
        <w:spacing w:before="0" w:after="0" w:line="408" w:lineRule="exact"/>
        <w:ind w:left="0" w:right="0" w:firstLine="576"/>
        <w:jc w:val="left"/>
      </w:pPr>
      <w:r>
        <w:rPr>
          <w:u w:val="single"/>
        </w:rPr>
        <w:t xml:space="preserve">(1) Demonstrate that the units were constructed no later than 15 years before the exemption is approved; and</w:t>
      </w:r>
    </w:p>
    <w:p>
      <w:pPr>
        <w:spacing w:before="0" w:after="0" w:line="408" w:lineRule="exact"/>
        <w:ind w:left="0" w:right="0" w:firstLine="576"/>
        <w:jc w:val="left"/>
      </w:pPr>
      <w:r>
        <w:rPr>
          <w:u w:val="single"/>
        </w:rPr>
        <w:t xml:space="preserve">(2) Commit to renting or selling at least 30 percent of the multifamily housing units as affordable housing units to low-income households, or the applicant must commit to renting or selling at least 50 percent more multifamily housing units than already required by the local government under this chapter to low-income households;</w:t>
      </w:r>
      <w:r>
        <w:rPr/>
        <w:t xml:space="preserve"> or</w:t>
      </w:r>
    </w:p>
    <w:p>
      <w:pPr>
        <w:spacing w:before="0" w:after="0" w:line="408" w:lineRule="exact"/>
        <w:ind w:left="0" w:right="0" w:firstLine="576"/>
        <w:jc w:val="left"/>
      </w:pPr>
      <w:r>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July 25, 2021, a mandatory inclusionary zoning requirement for affordable housing that ensures affordability of housing units for a period of at least 99 years and that has a population of no more than 65,000 as measured on July 25, 2021.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p>
    <w:p>
      <w:pPr>
        <w:spacing w:before="0" w:after="0" w:line="408" w:lineRule="exact"/>
        <w:ind w:left="0" w:right="0" w:firstLine="576"/>
        <w:jc w:val="left"/>
      </w:pPr>
      <w:r>
        <w:rPr/>
        <w:t xml:space="preserve">(b) The exemptions provided in (a)(i) through (iii)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w:t>
      </w:r>
      <w:r>
        <w:rPr>
          <w:u w:val="single"/>
        </w:rPr>
        <w:t xml:space="preserve">(I)</w:t>
      </w:r>
      <w:r>
        <w:rPr/>
        <w:t xml:space="preserve">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(1)(a)(ii)(A) or (B) </w:t>
      </w:r>
      <w:r>
        <w:rPr>
          <w:u w:val="single"/>
        </w:rPr>
        <w:t xml:space="preserve">(I) and (II)</w:t>
      </w:r>
      <w:r>
        <w:rPr/>
        <w:t xml:space="preserve">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w:t>
      </w:r>
      <w:r>
        <w:rPr>
          <w:u w:val="single"/>
        </w:rPr>
        <w:t xml:space="preserve">(I)</w:t>
      </w:r>
      <w:r>
        <w:rPr/>
        <w:t xml:space="preserve">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t xml:space="preserve">(7) At the end of both the tenth and eleventh years of an extension, for </w:t>
      </w:r>
      <w:r>
        <w:t>((</w:t>
      </w:r>
      <w:r>
        <w:rPr>
          <w:strike/>
        </w:rPr>
        <w:t xml:space="preserve">twelve-year</w:t>
      </w:r>
      <w:r>
        <w:t>))</w:t>
      </w:r>
      <w:r>
        <w:rPr/>
        <w:t xml:space="preserve"> </w:t>
      </w:r>
      <w:r>
        <w:rPr>
          <w:u w:val="single"/>
        </w:rPr>
        <w:t xml:space="preserve">12-year</w:t>
      </w:r>
      <w:r>
        <w:rPr/>
        <w:t xml:space="preserve">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(1)(a)(ii)(B)</w:t>
      </w:r>
      <w:r>
        <w:rPr>
          <w:u w:val="single"/>
        </w:rPr>
        <w:t xml:space="preserve">(I)</w:t>
      </w:r>
      <w:r>
        <w:rPr/>
        <w:t xml:space="preserve"> or (iii)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(1)(a)(ii)(B)</w:t>
      </w:r>
      <w:r>
        <w:rPr>
          <w:u w:val="single"/>
        </w:rPr>
        <w:t xml:space="preserve">(I)</w:t>
      </w:r>
      <w:r>
        <w:rPr/>
        <w:t xml:space="preserve">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following criteria must be met before a governing authority of a city may designate an area as a low-income conversion target area:</w:t>
      </w:r>
    </w:p>
    <w:p>
      <w:pPr>
        <w:spacing w:before="0" w:after="0" w:line="408" w:lineRule="exact"/>
        <w:ind w:left="0" w:right="0" w:firstLine="576"/>
        <w:jc w:val="left"/>
      </w:pPr>
      <w:r>
        <w:rPr/>
        <w:t xml:space="preserve">(a) The area must be within an urban center, as determined by the governing authority; and</w:t>
      </w:r>
    </w:p>
    <w:p>
      <w:pPr>
        <w:spacing w:before="0" w:after="0" w:line="408" w:lineRule="exact"/>
        <w:ind w:left="0" w:right="0" w:firstLine="576"/>
        <w:jc w:val="left"/>
      </w:pPr>
      <w:r>
        <w:rPr/>
        <w:t xml:space="preserve">(b) The area must lack, as determined by the governing authority, sufficient low-income housing to meet the needs of the public who would be likely to live in the urban center.</w:t>
      </w:r>
    </w:p>
    <w:p>
      <w:pPr>
        <w:spacing w:before="0" w:after="0" w:line="408" w:lineRule="exact"/>
        <w:ind w:left="0" w:right="0" w:firstLine="576"/>
        <w:jc w:val="left"/>
      </w:pPr>
      <w:r>
        <w:rPr/>
        <w:t xml:space="preserve">(2) For the purpose of designating a low-income conversion target area or areas, the governing authority may adopt a resolution of intention to so designate an area.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30 days before the date of the hearing in a paper having a general circulation in the city or county where the proposed low-income conversion target area is located. The notice must state the time, date, place, and purpose of the hearing and generally identify the area proposed to be designated as a low-income conversion target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low-income conversion target area if it finds, in its sole discretion, that the criteria in subsection (1) of this section have been met.</w:t>
      </w:r>
    </w:p>
    <w:p>
      <w:pPr>
        <w:spacing w:before="0" w:after="0" w:line="408" w:lineRule="exact"/>
        <w:ind w:left="0" w:right="0" w:firstLine="576"/>
        <w:jc w:val="left"/>
      </w:pPr>
      <w:r>
        <w:rPr/>
        <w:t xml:space="preserve">(5) After designation of an area to a low-income conversion target area, the governing authority must adopt and implement standards and guidelines to be used in considering applications and making determinations required under subsection (6) of this section. The standards and guidelines must establish basic requirements for conversions, which must include:</w:t>
      </w:r>
    </w:p>
    <w:p>
      <w:pPr>
        <w:spacing w:before="0" w:after="0" w:line="408" w:lineRule="exact"/>
        <w:ind w:left="0" w:right="0" w:firstLine="576"/>
        <w:jc w:val="left"/>
      </w:pPr>
      <w:r>
        <w:rPr/>
        <w:t xml:space="preserve">(a) Application process and procedures; and</w:t>
      </w:r>
    </w:p>
    <w:p>
      <w:pPr>
        <w:spacing w:before="0" w:after="0" w:line="408" w:lineRule="exact"/>
        <w:ind w:left="0" w:right="0" w:firstLine="576"/>
        <w:jc w:val="left"/>
      </w:pPr>
      <w:r>
        <w:rPr/>
        <w:t xml:space="preserve">(b) Income and rent standards for low-income units.</w:t>
      </w:r>
    </w:p>
    <w:p>
      <w:pPr>
        <w:spacing w:before="0" w:after="0" w:line="408" w:lineRule="exact"/>
        <w:ind w:left="0" w:right="0" w:firstLine="576"/>
        <w:jc w:val="left"/>
      </w:pPr>
      <w:r>
        <w:rPr/>
        <w:t xml:space="preserve">(6) The duly authorized administrative official or committee of the city may approve the application if it finds that:</w:t>
      </w:r>
    </w:p>
    <w:p>
      <w:pPr>
        <w:spacing w:before="0" w:after="0" w:line="408" w:lineRule="exact"/>
        <w:ind w:left="0" w:right="0" w:firstLine="576"/>
        <w:jc w:val="left"/>
      </w:pPr>
      <w:r>
        <w:rPr/>
        <w:t xml:space="preserve">(a) A minimum of four units are being converted to low-income housing units;</w:t>
      </w:r>
    </w:p>
    <w:p>
      <w:pPr>
        <w:spacing w:before="0" w:after="0" w:line="408" w:lineRule="exact"/>
        <w:ind w:left="0" w:right="0" w:firstLine="576"/>
        <w:jc w:val="left"/>
      </w:pPr>
      <w:r>
        <w:rPr/>
        <w:t xml:space="preserve">(b) The owner has complied with all standards and guidelines adopted by the city under this chapter; and</w:t>
      </w:r>
    </w:p>
    <w:p>
      <w:pPr>
        <w:spacing w:before="0" w:after="0" w:line="408" w:lineRule="exact"/>
        <w:ind w:left="0" w:right="0" w:firstLine="576"/>
        <w:jc w:val="left"/>
      </w:pPr>
      <w:r>
        <w:rPr/>
        <w:t xml:space="preserve">(c) The site is located in a low-income conversion target area of an urban center that has been designated by the governing authority in accordance with the procedures and guidelines in this section.</w:t>
      </w:r>
    </w:p>
    <w:p>
      <w:pPr>
        <w:spacing w:before="0" w:after="0" w:line="408" w:lineRule="exact"/>
        <w:ind w:left="0" w:right="0" w:firstLine="576"/>
        <w:jc w:val="left"/>
      </w:pPr>
      <w:r>
        <w:rPr/>
        <w:t xml:space="preserve">(7) The governing authority of a city may adopt and implement more stringent eligibility, rent, or sale price limits, including limits that apply to a higher percentage of units, than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multifamily property receiving a low-income conversion exemption under RCW 84.14.020(1)(a)(ii)(B)(II), must file with a designated authorized representative of the city an annual report indicating the following:</w:t>
      </w:r>
    </w:p>
    <w:p>
      <w:pPr>
        <w:spacing w:before="0" w:after="0" w:line="408" w:lineRule="exact"/>
        <w:ind w:left="0" w:right="0" w:firstLine="576"/>
        <w:jc w:val="left"/>
      </w:pPr>
      <w:r>
        <w:rPr/>
        <w:t xml:space="preserve">(a) A statement of occupancy and vacancy of the converted property during the 12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low-income housing requirements as described in RCW 84.14.020 since the date of the certificate approved by the city;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in regard to the units receiving a tax exemption.</w:t>
      </w:r>
    </w:p>
    <w:p>
      <w:pPr>
        <w:spacing w:before="0" w:after="0" w:line="408" w:lineRule="exact"/>
        <w:ind w:left="0" w:right="0" w:firstLine="576"/>
        <w:jc w:val="left"/>
      </w:pPr>
      <w:r>
        <w:rPr/>
        <w:t xml:space="preserve">(2) All cities, which issue certificates of tax exemption for multiunit housing that conform to the requirements of this chapter, must report annually by April 1st of each year, beginning in 2024, to the department of commerce. A city must be in compliance with the reporting requirements of this section to offer certificates of tax exemption for a conversion of a multifamily property authorized in this chapter.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converted;</w:t>
      </w:r>
    </w:p>
    <w:p>
      <w:pPr>
        <w:spacing w:before="0" w:after="0" w:line="408" w:lineRule="exact"/>
        <w:ind w:left="0" w:right="0" w:firstLine="576"/>
        <w:jc w:val="left"/>
      </w:pPr>
      <w:r>
        <w:rPr/>
        <w:t xml:space="preserve">(c) The number, size, and type of units converted meeting low-income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converted;</w:t>
      </w:r>
    </w:p>
    <w:p>
      <w:pPr>
        <w:spacing w:before="0" w:after="0" w:line="408" w:lineRule="exact"/>
        <w:ind w:left="0" w:right="0" w:firstLine="576"/>
        <w:jc w:val="left"/>
      </w:pPr>
      <w:r>
        <w:rPr/>
        <w:t xml:space="preserve">(f) The annual household income and household size for each of the low-income units receiving a tax exemption and a summary of these figures for the city;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t xml:space="preserve">(3)(a) The department of commerce must adopt and implement a program to effectively audit or review that the owner or operator of each property for which a certificate of tax exemption has been issued, except for those properties receiving an exemption that are owned or operated by a nonprofit or for those properties receiving an exemption from a city that operates an independent audit or review program, is offering the number of units at rents as committed to in the approved application for an exemption and that the tenants are being properly screened to be qualified for an income-restricted unit. The audit or review program must be adopted in consultation with local governments and other stakeholders and may be based on auditing a percentage of income-restricted units or properties annually. A private owner or operator of a property for which a certificate of tax exemption has been issued under this chapter, must be audited at least once every five years.</w:t>
      </w:r>
    </w:p>
    <w:p>
      <w:pPr>
        <w:spacing w:before="0" w:after="0" w:line="408" w:lineRule="exact"/>
        <w:ind w:left="0" w:right="0" w:firstLine="576"/>
        <w:jc w:val="left"/>
      </w:pPr>
      <w:r>
        <w:rPr/>
        <w:t xml:space="preserve">(b) If the review or audit required under (a) of this subsection for a given property finds that the owner or operator is not offering the number of units at rents as committed to in the approved application or is not properly screening tenants for income-restricted units, the department of commerce must notify the city and the city must impose and collect a sliding scale penalty not to exceed an amount calculated by subtracting the amount of rents that would have been collected had the owner or operator complied with their commitment from the amount of rents collected by the owner or operator for the income-restricted units, with consideration of the severity of the noncompliance. If a subsequent review or audit required under (a) of this subsection for a given property finds continued substantial noncompliance with the program requirements, the exemption certificate must be canceled pursuant to RCW 84.14.110.</w:t>
      </w:r>
    </w:p>
    <w:p>
      <w:pPr>
        <w:spacing w:before="0" w:after="0" w:line="408" w:lineRule="exact"/>
        <w:ind w:left="0" w:right="0" w:firstLine="576"/>
        <w:jc w:val="left"/>
      </w:pPr>
      <w:r>
        <w:rPr/>
        <w:t xml:space="preserve">(c) The department of commerce may impose and collect a fee, not to exceed the costs of the audit or review, from the owner or operator of any property subject to an audit or review required under (a) of this subsection.</w:t>
      </w:r>
    </w:p>
    <w:p>
      <w:pPr>
        <w:spacing w:before="0" w:after="0" w:line="408" w:lineRule="exact"/>
        <w:ind w:left="0" w:right="0" w:firstLine="576"/>
        <w:jc w:val="left"/>
      </w:pPr>
      <w:r>
        <w:rPr/>
        <w:t xml:space="preserve">(4) The department of commerce must provide guidance to cities,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t xml:space="preserve">(5) This section expires January 1, 2058.</w:t>
      </w:r>
    </w:p>
    <w:p/>
    <w:p>
      <w:pPr>
        <w:jc w:val="center"/>
      </w:pPr>
      <w:r>
        <w:rPr>
          <w:b/>
        </w:rPr>
        <w:t>--- END ---</w:t>
      </w:r>
    </w:p>
    <w:sectPr>
      <w:pgNumType w:start="1"/>
      <w:footerReference xmlns:r="http://schemas.openxmlformats.org/officeDocument/2006/relationships" r:id="R4112917a876f40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4917f9e574c2d" /><Relationship Type="http://schemas.openxmlformats.org/officeDocument/2006/relationships/footer" Target="/word/footer1.xml" Id="R4112917a876f40e1" /></Relationships>
</file>