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e9946f48814c93" /></Relationships>
</file>

<file path=word/document.xml><?xml version="1.0" encoding="utf-8"?>
<w:document xmlns:w="http://schemas.openxmlformats.org/wordprocessingml/2006/main">
  <w:body>
    <w:p>
      <w:r>
        <w:t>H-0567.1</w:t>
      </w:r>
    </w:p>
    <w:p>
      <w:pPr>
        <w:jc w:val="center"/>
      </w:pPr>
      <w:r>
        <w:t>_______________________________________________</w:t>
      </w:r>
    </w:p>
    <w:p/>
    <w:p>
      <w:pPr>
        <w:jc w:val="center"/>
      </w:pPr>
      <w:r>
        <w:rPr>
          <w:b/>
        </w:rPr>
        <w:t>HOUSE BILL 1427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Doglio, Ramel, Street, Berry, Duerr, Hackney, Reed, Fosse, Cortes, Lekanoff, and Peterson</w:t>
      </w:r>
    </w:p>
    <w:p/>
    <w:p>
      <w:r>
        <w:rPr>
          <w:t xml:space="preserve">Read first time 01/18/23.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on-premises energy generation; amending RCW 80.60.020 and 80.60.030; reenacting and amending RCW 80.60.010; adding a new section to chapter 19.86 RCW; adding new sections to chapter 80.60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2019 c 235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(4) "Customer-generator" means a user of a net metering system.</w:t>
      </w:r>
    </w:p>
    <w:p>
      <w:pPr>
        <w:spacing w:before="0" w:after="0" w:line="408" w:lineRule="exact"/>
        <w:ind w:left="0" w:right="0" w:firstLine="576"/>
        <w:jc w:val="left"/>
      </w:pPr>
      <w:r>
        <w:rPr/>
        <w:t xml:space="preserve">(5) "Designated meter" means an electric service meter at the service of a net metering system that is interconnected to the utility distribution system.</w:t>
      </w:r>
    </w:p>
    <w:p>
      <w:pPr>
        <w:spacing w:before="0" w:after="0" w:line="408" w:lineRule="exact"/>
        <w:ind w:left="0" w:right="0" w:firstLine="576"/>
        <w:jc w:val="left"/>
      </w:pPr>
      <w:r>
        <w:rPr/>
        <w:t xml:space="preserve">(6) "Electric cooperative" means a cooperative or association organized under chapter 23.86 or 24.06 RCW.</w:t>
      </w:r>
    </w:p>
    <w:p>
      <w:pPr>
        <w:spacing w:before="0" w:after="0" w:line="408" w:lineRule="exact"/>
        <w:ind w:left="0" w:right="0" w:firstLine="576"/>
        <w:jc w:val="left"/>
      </w:pPr>
      <w:r>
        <w:rPr/>
        <w:t xml:space="preserve">(7)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(8) "Electrical company" means a company owned by investors that meets the definition of RCW 80.04.010.</w:t>
      </w:r>
    </w:p>
    <w:p>
      <w:pPr>
        <w:spacing w:before="0" w:after="0" w:line="408" w:lineRule="exact"/>
        <w:ind w:left="0" w:right="0" w:firstLine="576"/>
        <w:jc w:val="left"/>
      </w:pPr>
      <w:r>
        <w:rPr/>
        <w:t xml:space="preserve">(9) "Irrigation district" means an irrigation district under chapter 87.03 RCW.</w:t>
      </w:r>
    </w:p>
    <w:p>
      <w:pPr>
        <w:spacing w:before="0" w:after="0" w:line="408" w:lineRule="exact"/>
        <w:ind w:left="0" w:right="0" w:firstLine="576"/>
        <w:jc w:val="left"/>
      </w:pPr>
      <w:r>
        <w:rPr/>
        <w:t xml:space="preserve">(10) "Meter aggregation" means the administrative combination of billing net energy consumption from a designated net meter and eligible aggregated meter.</w:t>
      </w:r>
    </w:p>
    <w:p>
      <w:pPr>
        <w:spacing w:before="0" w:after="0" w:line="408" w:lineRule="exact"/>
        <w:ind w:left="0" w:right="0" w:firstLine="576"/>
        <w:jc w:val="left"/>
      </w:pPr>
      <w:r>
        <w:rPr/>
        <w:t xml:space="preserve">(11) "Municipal electric utility" means a city or town that owns or operates an electric utility authorized by chapter 35.92 RCW.</w:t>
      </w:r>
    </w:p>
    <w:p>
      <w:pPr>
        <w:spacing w:before="0" w:after="0" w:line="408" w:lineRule="exact"/>
        <w:ind w:left="0" w:right="0" w:firstLine="576"/>
        <w:jc w:val="left"/>
      </w:pPr>
      <w:r>
        <w:rPr/>
        <w:t xml:space="preserve">(12)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(13)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AC capacity of </w:t>
      </w:r>
      <w:r>
        <w:t>((</w:t>
      </w:r>
      <w:r>
        <w:rPr>
          <w:strike/>
        </w:rPr>
        <w:t xml:space="preserve">not more than one hundred kilowatts</w:t>
      </w:r>
      <w:r>
        <w:t>))</w:t>
      </w:r>
      <w:r>
        <w:rPr/>
        <w:t xml:space="preserve"> </w:t>
      </w:r>
      <w:r>
        <w:rPr>
          <w:u w:val="single"/>
        </w:rPr>
        <w:t xml:space="preserve">up to 200 kilowatts for a system in the service territory of a consumer-owned utility. Consumer-owned utilities may allow a net metering system larger than 200 kilowatts in their service territory</w:t>
      </w:r>
      <w:r>
        <w:rPr/>
        <w:t xml:space="preserve">;</w:t>
      </w:r>
    </w:p>
    <w:p>
      <w:pPr>
        <w:spacing w:before="0" w:after="0" w:line="408" w:lineRule="exact"/>
        <w:ind w:left="0" w:right="0" w:firstLine="576"/>
        <w:jc w:val="left"/>
      </w:pPr>
      <w:r>
        <w:rPr/>
        <w:t xml:space="preserve">(b) </w:t>
      </w:r>
      <w:r>
        <w:rPr>
          <w:u w:val="single"/>
        </w:rPr>
        <w:t xml:space="preserve">Has an electrical generating AC capacity of up to two megawatts for a system in the service territory of an investor-owned utility. Investor-owned utilities may allow a net metering system larger than two megawatts in their service territory;</w:t>
      </w:r>
    </w:p>
    <w:p>
      <w:pPr>
        <w:spacing w:before="0" w:after="0" w:line="408" w:lineRule="exact"/>
        <w:ind w:left="0" w:right="0" w:firstLine="576"/>
        <w:jc w:val="left"/>
      </w:pPr>
      <w:r>
        <w:rPr>
          <w:u w:val="single"/>
        </w:rPr>
        <w:t xml:space="preserve">(c)</w:t>
      </w:r>
      <w:r>
        <w:rPr/>
        <w:t xml:space="preserve"> Is located on the customer-generator's premises;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Operates in parallel with the electric utility's transmission and distribution facilities and is connected to the electric utility's distribution system;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Is intended primarily to offset part or all of the customer-generator's requirements for electricity.</w:t>
      </w:r>
    </w:p>
    <w:p>
      <w:pPr>
        <w:spacing w:before="0" w:after="0" w:line="408" w:lineRule="exact"/>
        <w:ind w:left="0" w:right="0" w:firstLine="576"/>
        <w:jc w:val="left"/>
      </w:pPr>
      <w:r>
        <w:rPr/>
        <w:t xml:space="preserve">(14)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(15)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(16) "Public utility district" means a district authorized by chapter 54.04 RCW.</w:t>
      </w:r>
    </w:p>
    <w:p>
      <w:pPr>
        <w:spacing w:before="0" w:after="0" w:line="408" w:lineRule="exact"/>
        <w:ind w:left="0" w:right="0" w:firstLine="576"/>
        <w:jc w:val="left"/>
      </w:pPr>
      <w:r>
        <w:rPr/>
        <w:t xml:space="preserve">(17) "Renewable energy" means energy generated by a facility that uses water, wind, solar energy, or biogas as a fuel.</w:t>
      </w:r>
    </w:p>
    <w:p>
      <w:pPr>
        <w:spacing w:before="0" w:after="0" w:line="408" w:lineRule="exact"/>
        <w:ind w:left="0" w:right="0" w:firstLine="576"/>
        <w:jc w:val="left"/>
      </w:pPr>
      <w:r>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0" w:after="0" w:line="408" w:lineRule="exact"/>
        <w:ind w:left="0" w:right="0" w:firstLine="576"/>
        <w:jc w:val="left"/>
      </w:pPr>
      <w:r>
        <w:rPr>
          <w:u w:val="single"/>
        </w:rPr>
        <w:t xml:space="preserve">(19) "Annual production projections" means estimates of the energy production of a solar energy system over one calendar year.</w:t>
      </w:r>
    </w:p>
    <w:p>
      <w:pPr>
        <w:spacing w:before="0" w:after="0" w:line="408" w:lineRule="exact"/>
        <w:ind w:left="0" w:right="0" w:firstLine="576"/>
        <w:jc w:val="left"/>
      </w:pPr>
      <w:r>
        <w:rPr>
          <w:u w:val="single"/>
        </w:rPr>
        <w:t xml:space="preserve">(20) "System components" means the physical parts of a solar energy system including solar modules, direct current to alternating current inverters, solar module level electronics, and solar racking.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2019 c 235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pursuant to RCW 80.60.030, available to eligible customer-generators on a first-come, first-served basis until the earlier of either: (i) </w:t>
      </w:r>
      <w:r>
        <w:t>((</w:t>
      </w:r>
      <w:r>
        <w:rPr>
          <w:strike/>
        </w:rPr>
        <w:t xml:space="preserve">June 30, 2029</w:t>
      </w:r>
      <w:r>
        <w:t>))</w:t>
      </w:r>
      <w:r>
        <w:rPr/>
        <w:t xml:space="preserve"> </w:t>
      </w:r>
      <w:r>
        <w:rPr>
          <w:u w:val="single"/>
        </w:rPr>
        <w:t xml:space="preserve">December 31, 2035</w:t>
      </w:r>
      <w:r>
        <w:rPr/>
        <w:t xml:space="preserve">; or (ii) the first date upon which the cumulative generating capacity of net metering systems equals </w:t>
      </w:r>
      <w:r>
        <w:t>((</w:t>
      </w:r>
      <w:r>
        <w:rPr>
          <w:strike/>
        </w:rPr>
        <w:t xml:space="preserve">four</w:t>
      </w:r>
      <w:r>
        <w:t>))</w:t>
      </w:r>
      <w:r>
        <w:rPr/>
        <w:t xml:space="preserve"> </w:t>
      </w:r>
      <w:r>
        <w:rPr>
          <w:u w:val="single"/>
        </w:rPr>
        <w:t xml:space="preserve">12</w:t>
      </w:r>
      <w:r>
        <w:rPr/>
        <w:t xml:space="preserve">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r>
        <w:rPr>
          <w:u w:val="single"/>
        </w:rPr>
        <w:t xml:space="preserve">;</w:t>
      </w:r>
    </w:p>
    <w:p>
      <w:pPr>
        <w:spacing w:before="0" w:after="0" w:line="408" w:lineRule="exact"/>
        <w:ind w:left="0" w:right="0" w:firstLine="576"/>
        <w:jc w:val="left"/>
      </w:pPr>
      <w:r>
        <w:rPr>
          <w:u w:val="single"/>
        </w:rPr>
        <w:t xml:space="preserve">(d) Must enter a contract, which must be no shorter than 25 years, with any person interested in becoming an eligible customer-generator. If the person interested in becoming an eligible customer-generator, or an existing customer-generator, and the electric utility both agree to the terms of the contract, they must enter into the contract. The contract must be transferable to any future customer-generator at the electric meter, in the case of changing system ownership, for the remainder of the contract term;</w:t>
      </w:r>
    </w:p>
    <w:p>
      <w:pPr>
        <w:spacing w:before="0" w:after="0" w:line="408" w:lineRule="exact"/>
        <w:ind w:left="0" w:right="0" w:firstLine="576"/>
        <w:jc w:val="left"/>
      </w:pPr>
      <w:r>
        <w:rPr>
          <w:u w:val="single"/>
        </w:rPr>
        <w:t xml:space="preserve">(e) Must develop a standard rate or tariff schedule that is expressed as a percentage of the utility's retail rate</w:t>
      </w:r>
      <w:r>
        <w:rPr/>
        <w:t xml:space="preserv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t xml:space="preserve">(3)(a)(i) A consumer-owned utility may develop a standard rate or tariff schedule that deviates from RCW 80.60.030 for eligible customer-generators to take effect at the earlier of either: (A) </w:t>
      </w:r>
      <w:r>
        <w:t>((</w:t>
      </w:r>
      <w:r>
        <w:rPr>
          <w:strike/>
        </w:rPr>
        <w:t xml:space="preserve">June 30, 2029</w:t>
      </w:r>
      <w:r>
        <w:t>))</w:t>
      </w:r>
      <w:r>
        <w:rPr/>
        <w:t xml:space="preserve"> </w:t>
      </w:r>
      <w:r>
        <w:rPr>
          <w:u w:val="single"/>
        </w:rPr>
        <w:t xml:space="preserve">December 31, 2035</w:t>
      </w:r>
      <w:r>
        <w:rPr/>
        <w:t xml:space="preserve">; or (B) the first date upon which the cumulative generating capacity of net metering systems equals </w:t>
      </w:r>
      <w:r>
        <w:t>((</w:t>
      </w:r>
      <w:r>
        <w:rPr>
          <w:strike/>
        </w:rPr>
        <w:t xml:space="preserve">four</w:t>
      </w:r>
      <w:r>
        <w:t>))</w:t>
      </w:r>
      <w:r>
        <w:rPr/>
        <w:t xml:space="preserve"> </w:t>
      </w:r>
      <w:r>
        <w:rPr>
          <w:u w:val="single"/>
        </w:rPr>
        <w:t xml:space="preserve">12</w:t>
      </w:r>
      <w:r>
        <w:rPr/>
        <w:t xml:space="preserve"> percent of the utility's peak demand during 1996.</w:t>
      </w:r>
    </w:p>
    <w:p>
      <w:pPr>
        <w:spacing w:before="0" w:after="0" w:line="408" w:lineRule="exact"/>
        <w:ind w:left="0" w:right="0" w:firstLine="576"/>
        <w:jc w:val="left"/>
      </w:pPr>
      <w:r>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t xml:space="preserve">(b) An approved standard rate or tariff schedule under this subsection applies to any customer-generator subject to an interconnection agreement entered into: (i) After </w:t>
      </w:r>
      <w:r>
        <w:t>((</w:t>
      </w:r>
      <w:r>
        <w:rPr>
          <w:strike/>
        </w:rPr>
        <w:t xml:space="preserve">June 30, 2029</w:t>
      </w:r>
      <w:r>
        <w:t>))</w:t>
      </w:r>
      <w:r>
        <w:rPr/>
        <w:t xml:space="preserve"> </w:t>
      </w:r>
      <w:r>
        <w:rPr>
          <w:u w:val="single"/>
        </w:rPr>
        <w:t xml:space="preserve">December 31, 2035</w:t>
      </w:r>
      <w:r>
        <w:rPr/>
        <w:t xml:space="preserve">, or (ii) the first date upon which the cumulative generating capacity of net metering systems pursuant to RCW 80.60.030 equals </w:t>
      </w:r>
      <w:r>
        <w:t>((</w:t>
      </w:r>
      <w:r>
        <w:rPr>
          <w:strike/>
        </w:rPr>
        <w:t xml:space="preserve">four</w:t>
      </w:r>
      <w:r>
        <w:t>))</w:t>
      </w:r>
      <w:r>
        <w:rPr/>
        <w:t xml:space="preserve"> </w:t>
      </w:r>
      <w:r>
        <w:rPr>
          <w:u w:val="single"/>
        </w:rPr>
        <w:t xml:space="preserve">12</w:t>
      </w:r>
      <w:r>
        <w:rPr/>
        <w:t xml:space="preserve">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t xml:space="preserve">(c)(i) A consumer-owned utility must notify the Washington State University extension energy program </w:t>
      </w:r>
      <w:r>
        <w:t>((</w:t>
      </w:r>
      <w:r>
        <w:rPr>
          <w:strike/>
        </w:rPr>
        <w:t xml:space="preserve">sixty</w:t>
      </w:r>
      <w:r>
        <w:t>))</w:t>
      </w:r>
      <w:r>
        <w:rPr/>
        <w:t xml:space="preserve"> </w:t>
      </w:r>
      <w:r>
        <w:rPr>
          <w:u w:val="single"/>
        </w:rPr>
        <w:t xml:space="preserve">60</w:t>
      </w:r>
      <w:r>
        <w:rPr/>
        <w:t xml:space="preserve"> days in advance of when a standard rate for an eligible customer-generator is first placed on the agenda of the governing body.</w:t>
      </w:r>
    </w:p>
    <w:p>
      <w:pPr>
        <w:spacing w:before="0" w:after="0" w:line="408" w:lineRule="exact"/>
        <w:ind w:left="0" w:right="0" w:firstLine="576"/>
        <w:jc w:val="left"/>
      </w:pPr>
      <w:r>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t xml:space="preserve">(iii) The Washington State University extension energy program must make available on its website a list of the following:</w:t>
      </w:r>
    </w:p>
    <w:p>
      <w:pPr>
        <w:spacing w:before="0" w:after="0" w:line="408" w:lineRule="exact"/>
        <w:ind w:left="0" w:right="0" w:firstLine="576"/>
        <w:jc w:val="left"/>
      </w:pPr>
      <w:r>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t xml:space="preserve">(B) Electric utilities that have provided notice of a rate or tariff schedule under this subsection; and</w:t>
      </w:r>
    </w:p>
    <w:p>
      <w:pPr>
        <w:spacing w:before="0" w:after="0" w:line="408" w:lineRule="exact"/>
        <w:ind w:left="0" w:right="0" w:firstLine="576"/>
        <w:jc w:val="left"/>
      </w:pPr>
      <w:r>
        <w:rPr/>
        <w:t xml:space="preserve">(C) Electric utilities that have adopted a standard rate or tariff schedule under this subsection.</w:t>
      </w:r>
    </w:p>
    <w:p>
      <w:pPr>
        <w:spacing w:before="0" w:after="0" w:line="408" w:lineRule="exact"/>
        <w:ind w:left="0" w:right="0" w:firstLine="576"/>
        <w:jc w:val="left"/>
      </w:pPr>
      <w:r>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t xml:space="preserve">(4)(a) An electric utility must continue to credit a customer-generator pursuant to RCW 80.60.030 if:</w:t>
      </w:r>
    </w:p>
    <w:p>
      <w:pPr>
        <w:spacing w:before="0" w:after="0" w:line="408" w:lineRule="exact"/>
        <w:ind w:left="0" w:right="0" w:firstLine="576"/>
        <w:jc w:val="left"/>
      </w:pPr>
      <w:r>
        <w:rPr/>
        <w:t xml:space="preserve">(i) The customer-generator takes service under net metering prior to the earlier of: (A) </w:t>
      </w:r>
      <w:r>
        <w:t>((</w:t>
      </w:r>
      <w:r>
        <w:rPr>
          <w:strike/>
        </w:rPr>
        <w:t xml:space="preserve">June 30, 2029</w:t>
      </w:r>
      <w:r>
        <w:t>))</w:t>
      </w:r>
      <w:r>
        <w:rPr/>
        <w:t xml:space="preserve"> </w:t>
      </w:r>
      <w:r>
        <w:rPr>
          <w:u w:val="single"/>
        </w:rPr>
        <w:t xml:space="preserve">December 31, 2035</w:t>
      </w:r>
      <w:r>
        <w:rPr/>
        <w:t xml:space="preserve">; or (B) the first date upon which the cumulative generating capacity of net metering systems reaches </w:t>
      </w:r>
      <w:r>
        <w:t>((</w:t>
      </w:r>
      <w:r>
        <w:rPr>
          <w:strike/>
        </w:rPr>
        <w:t xml:space="preserve">four</w:t>
      </w:r>
      <w:r>
        <w:t>))</w:t>
      </w:r>
      <w:r>
        <w:rPr/>
        <w:t xml:space="preserve"> </w:t>
      </w:r>
      <w:r>
        <w:rPr>
          <w:u w:val="single"/>
        </w:rPr>
        <w:t xml:space="preserve">12</w:t>
      </w:r>
      <w:r>
        <w:rPr/>
        <w:t xml:space="preserve"> percent of the utility's peak demand in 1996; and</w:t>
      </w:r>
    </w:p>
    <w:p>
      <w:pPr>
        <w:spacing w:before="0" w:after="0" w:line="408" w:lineRule="exact"/>
        <w:ind w:left="0" w:right="0" w:firstLine="576"/>
        <w:jc w:val="left"/>
      </w:pPr>
      <w:r>
        <w:rPr/>
        <w:t xml:space="preserve">(ii) The customer-generator's existing interconnection agreement for the net metering system remains valid.</w:t>
      </w:r>
    </w:p>
    <w:p>
      <w:pPr>
        <w:spacing w:before="0" w:after="0" w:line="408" w:lineRule="exact"/>
        <w:ind w:left="0" w:right="0" w:firstLine="576"/>
        <w:jc w:val="left"/>
      </w:pPr>
      <w:r>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0" w:after="0" w:line="408" w:lineRule="exact"/>
        <w:ind w:left="0" w:right="0" w:firstLine="576"/>
        <w:jc w:val="left"/>
      </w:pPr>
      <w:r>
        <w:rPr>
          <w:u w:val="single"/>
        </w:rPr>
        <w:t xml:space="preserve">(5)(a) An electric utility may offer net metering that incorporates time-of-use net metering rates to eligible customer-generators, consistent with the other provisions of this chapter.</w:t>
      </w:r>
    </w:p>
    <w:p>
      <w:pPr>
        <w:spacing w:before="0" w:after="0" w:line="408" w:lineRule="exact"/>
        <w:ind w:left="0" w:right="0" w:firstLine="576"/>
        <w:jc w:val="left"/>
      </w:pPr>
      <w:r>
        <w:rPr>
          <w:u w:val="single"/>
        </w:rPr>
        <w:t xml:space="preserve">(b) An electric utility offering time-of-use net metering rates is encouraged to create incentive plans for distributed energy storage.</w:t>
      </w:r>
    </w:p>
    <w:p>
      <w:pPr>
        <w:spacing w:before="0" w:after="0" w:line="408" w:lineRule="exact"/>
        <w:ind w:left="0" w:right="0" w:firstLine="576"/>
        <w:jc w:val="left"/>
      </w:pPr>
      <w:r>
        <w:rPr>
          <w:u w:val="single"/>
        </w:rPr>
        <w:t xml:space="preserve">(c) Any time-of-use net metering rate offered by an electric utility must be optional for customer-generators.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2019 c 235 s 3 are each amended to read as follows:</w:t>
      </w:r>
    </w:p>
    <w:p>
      <w:pPr>
        <w:spacing w:before="0" w:after="0" w:line="408" w:lineRule="exact"/>
        <w:ind w:left="0" w:right="0" w:firstLine="576"/>
        <w:jc w:val="left"/>
      </w:pPr>
      <w:r>
        <w:rPr/>
        <w:t xml:space="preserve">Consistent with the other provisions of this chapter, the net energy measurement, billed charges for kilowatt-hour consumption, and credits for excess kilowatt-hour generation by a net metered system,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customer-generator's net metering system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excess electricity generated by the net metering system during a billing period exceeds the electricity supplied by the electric utility during the same billing period,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the credit for kilowatt-hours appearing on the bill for the following billing period.</w:t>
      </w:r>
    </w:p>
    <w:p>
      <w:pPr>
        <w:spacing w:before="0" w:after="0" w:line="408" w:lineRule="exact"/>
        <w:ind w:left="0" w:right="0" w:firstLine="576"/>
        <w:jc w:val="left"/>
      </w:pPr>
      <w:r>
        <w:rPr/>
        <w:t xml:space="preserve">(4) If a customer-generator requests, an electric utility shall provide such a customer-generator meter aggregation.</w:t>
      </w:r>
    </w:p>
    <w:p>
      <w:pPr>
        <w:spacing w:before="0" w:after="0" w:line="408" w:lineRule="exact"/>
        <w:ind w:left="0" w:right="0" w:firstLine="576"/>
        <w:jc w:val="left"/>
      </w:pPr>
      <w:r>
        <w:rPr/>
        <w:t xml:space="preserve">(a) For a customer-generator participating in meter aggregation, credits for kilowatt-hours earned by the customer-generator's net metering system during the billing period first shall be used to offset electricity supplied by the electric utility at the location of the customer-generator's designated meter.</w:t>
      </w:r>
    </w:p>
    <w:p>
      <w:pPr>
        <w:spacing w:before="0" w:after="0" w:line="408" w:lineRule="exact"/>
        <w:ind w:left="0" w:right="0" w:firstLine="576"/>
        <w:jc w:val="left"/>
      </w:pPr>
      <w:r>
        <w:rPr/>
        <w:t xml:space="preserve">(b) 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t xml:space="preserve">(e) Credits for excess kilowatt-hours earned by the net metering system at the site of a designated meter during a billing period shall be credited by the electric utility for kilowatt-hour charges due at the aggregated meter at the applicable rate of the aggregated meter.</w:t>
      </w:r>
    </w:p>
    <w:p>
      <w:pPr>
        <w:spacing w:before="0" w:after="0" w:line="408" w:lineRule="exact"/>
        <w:ind w:left="0" w:right="0" w:firstLine="576"/>
        <w:jc w:val="left"/>
      </w:pPr>
      <w:r>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t xml:space="preserve">(h) Meters so aggregated shall not change rate classes due to meter aggregation under this section.</w:t>
      </w:r>
    </w:p>
    <w:p>
      <w:pPr>
        <w:spacing w:before="0" w:after="0" w:line="408" w:lineRule="exact"/>
        <w:ind w:left="0" w:right="0" w:firstLine="576"/>
        <w:jc w:val="left"/>
      </w:pPr>
      <w:r>
        <w:rPr/>
        <w:t xml:space="preserve">(5) On March 31st of each calendar year, any remaining unused credits for kilowatt-hours accumulated during the previous year shall be granted to the electric utility, without any compensation to the customer-generator</w:t>
      </w:r>
      <w:r>
        <w:rPr>
          <w:u w:val="single"/>
        </w:rPr>
        <w:t xml:space="preserve">, for distribution to low-income customers through a utility energy assistance program. It is the intent of the legislature that this be in addition to existing funds used for this purpose</w:t>
      </w:r>
      <w:r>
        <w:rPr/>
        <w:t xml:space="preserve">.</w:t>
      </w:r>
    </w:p>
    <w:p>
      <w:pPr>
        <w:spacing w:before="0" w:after="0" w:line="408" w:lineRule="exact"/>
        <w:ind w:left="0" w:right="0" w:firstLine="576"/>
        <w:jc w:val="left"/>
      </w:pPr>
      <w:r>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customer intending to purchase the installation of a system producing electricity with solar energy must have a contract with a solar energy contractor unless the customer installs the system without a solar energy contractor.</w:t>
      </w:r>
    </w:p>
    <w:p>
      <w:pPr>
        <w:spacing w:before="0" w:after="0" w:line="408" w:lineRule="exact"/>
        <w:ind w:left="0" w:right="0" w:firstLine="576"/>
        <w:jc w:val="left"/>
      </w:pPr>
      <w:r>
        <w:rPr/>
        <w:t xml:space="preserve">(2) A solar energy contract must be in writing.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or summary of work to be performed;</w:t>
      </w:r>
    </w:p>
    <w:p>
      <w:pPr>
        <w:spacing w:before="0" w:after="0" w:line="408" w:lineRule="exact"/>
        <w:ind w:left="0" w:right="0" w:firstLine="576"/>
        <w:jc w:val="left"/>
      </w:pPr>
      <w:r>
        <w:rPr/>
        <w:t xml:space="preserve">(b) The model and brand name of system components to be used, if system components change throughout the duration of the contract, those changes must be documented and their quality must be equal or greater to that of the original system components, unless agreed upon in writing by the customer;</w:t>
      </w:r>
    </w:p>
    <w:p>
      <w:pPr>
        <w:spacing w:before="0" w:after="0" w:line="408" w:lineRule="exact"/>
        <w:ind w:left="0" w:right="0" w:firstLine="576"/>
        <w:jc w:val="left"/>
      </w:pPr>
      <w:r>
        <w:rPr/>
        <w:t xml:space="preserve">(c) The warranty of each system component;</w:t>
      </w:r>
    </w:p>
    <w:p>
      <w:pPr>
        <w:spacing w:before="0" w:after="0" w:line="408" w:lineRule="exact"/>
        <w:ind w:left="0" w:right="0" w:firstLine="576"/>
        <w:jc w:val="left"/>
      </w:pPr>
      <w:r>
        <w:rPr/>
        <w:t xml:space="preserve">(d) The dollar amount of the contract;</w:t>
      </w:r>
    </w:p>
    <w:p>
      <w:pPr>
        <w:spacing w:before="0" w:after="0" w:line="408" w:lineRule="exact"/>
        <w:ind w:left="0" w:right="0" w:firstLine="576"/>
        <w:jc w:val="left"/>
      </w:pPr>
      <w:r>
        <w:rPr/>
        <w:t xml:space="preserve">(e) The solar energy system's annual production projections in kilowatt-hours and the methodology and the means, or name of the program or tool used to develop the projections;</w:t>
      </w:r>
    </w:p>
    <w:p>
      <w:pPr>
        <w:spacing w:before="0" w:after="0" w:line="408" w:lineRule="exact"/>
        <w:ind w:left="0" w:right="0" w:firstLine="576"/>
        <w:jc w:val="left"/>
      </w:pPr>
      <w:r>
        <w:rPr/>
        <w:t xml:space="preserve">(f) The name of the primary solar energy salesperson or solar sales firm;</w:t>
      </w:r>
    </w:p>
    <w:p>
      <w:pPr>
        <w:spacing w:before="0" w:after="0" w:line="408" w:lineRule="exact"/>
        <w:ind w:left="0" w:right="0" w:firstLine="576"/>
        <w:jc w:val="left"/>
      </w:pPr>
      <w:r>
        <w:rPr/>
        <w:t xml:space="preserve">(g) The name, address, and contractor's registration number of the solar energy contractor;</w:t>
      </w:r>
    </w:p>
    <w:p>
      <w:pPr>
        <w:spacing w:before="0" w:after="0" w:line="408" w:lineRule="exact"/>
        <w:ind w:left="0" w:right="0" w:firstLine="576"/>
        <w:jc w:val="left"/>
      </w:pPr>
      <w:r>
        <w:rPr/>
        <w:t xml:space="preserve">(h) A statement as to whether all or part of the work is intended to be subcontracted to or performed by another person or entity other than the contractor's own workforce;</w:t>
      </w:r>
    </w:p>
    <w:p>
      <w:pPr>
        <w:spacing w:before="0" w:after="0" w:line="408" w:lineRule="exact"/>
        <w:ind w:left="0" w:right="0" w:firstLine="576"/>
        <w:jc w:val="left"/>
      </w:pPr>
      <w:r>
        <w:rPr/>
        <w:t xml:space="preserve">(i) The link address to the Washington state labor and industries contractor verification tool;</w:t>
      </w:r>
    </w:p>
    <w:p>
      <w:pPr>
        <w:spacing w:before="0" w:after="0" w:line="408" w:lineRule="exact"/>
        <w:ind w:left="0" w:right="0" w:firstLine="576"/>
        <w:jc w:val="left"/>
      </w:pPr>
      <w:r>
        <w:rPr/>
        <w:t xml:space="preserve">(j) The contract must require the customer to disclose whether the customer intends to obtain a loan in order to pay for all or part of the amount due under the contract;</w:t>
      </w:r>
    </w:p>
    <w:p>
      <w:pPr>
        <w:spacing w:before="0" w:after="0" w:line="408" w:lineRule="exact"/>
        <w:ind w:left="0" w:right="0" w:firstLine="576"/>
        <w:jc w:val="left"/>
      </w:pPr>
      <w:r>
        <w:rPr/>
        <w:t xml:space="preserve">(k) If the customer indicates that he or she intends to obtain a loan to pay for a portion of the contract, the contract must clearly provide a recommendation that the customer wait until receiving financial approval before signing the solar energy contract, and the customer must sign below the recommendation provision acknowledging they have read and understand the recommendation provision;</w:t>
      </w:r>
    </w:p>
    <w:p>
      <w:pPr>
        <w:spacing w:before="0" w:after="0" w:line="408" w:lineRule="exact"/>
        <w:ind w:left="0" w:right="0" w:firstLine="576"/>
        <w:jc w:val="left"/>
      </w:pPr>
      <w:r>
        <w:rPr/>
        <w:t xml:space="preserve">(l) The contract must provide the following recommendation in capital letters:</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CONTRACT.";</w:t>
      </w:r>
    </w:p>
    <w:p>
      <w:pPr>
        <w:spacing w:before="0" w:after="0" w:line="408" w:lineRule="exact"/>
        <w:ind w:left="0" w:right="0" w:firstLine="576"/>
        <w:jc w:val="left"/>
      </w:pPr>
      <w:r>
        <w:rPr/>
        <w:t xml:space="preserve">(m) The contract must provide notice of the right to cancel that allows the customer to cancel the solar energy contract within three business days of contract signing and the contract must require the customer to sign below the notice provision acknowledging they have read and understand the notice provision; and</w:t>
      </w:r>
    </w:p>
    <w:p>
      <w:pPr>
        <w:spacing w:before="0" w:after="0" w:line="408" w:lineRule="exact"/>
        <w:ind w:left="0" w:right="0" w:firstLine="576"/>
        <w:jc w:val="left"/>
      </w:pPr>
      <w:r>
        <w:rPr/>
        <w:t xml:space="preserve">(n) The contract must provide the following notice in capital letters:</w:t>
      </w:r>
    </w:p>
    <w:p>
      <w:pPr>
        <w:spacing w:before="0" w:after="0" w:line="408" w:lineRule="exact"/>
        <w:ind w:left="0" w:right="0" w:firstLine="576"/>
        <w:jc w:val="left"/>
      </w:pPr>
      <w:r>
        <w:rPr/>
        <w:t xml:space="preserve">"CUSTOMER'S RIGHT TO CANCEL: YOU HAVE THE RIGHT TO CANCEL YOUR SOLAR ENERGY CONTRACT WITHIN THREE BUSINESS DAYS OF CONTRACT SIGNING."</w:t>
      </w:r>
    </w:p>
    <w:p>
      <w:pPr>
        <w:spacing w:before="0" w:after="0" w:line="408" w:lineRule="exact"/>
        <w:ind w:left="0" w:right="0" w:firstLine="576"/>
        <w:jc w:val="left"/>
      </w:pPr>
      <w:r>
        <w:rPr/>
        <w:t xml:space="preserve">(3)</w:t>
      </w:r>
      <w:r>
        <w:rPr/>
        <w:t xml:space="preserve"> If the customer indicates that they intend to obtain a loan to pay for all or part of the cost of the solar energy contract, the solar energy contractor or their subcontractor may not begin work until after the customer's rescission rights provided in this section have expired. If the solar energy contractor or their subcontractor commences work under the contract before the customer's rescission rights have expired, the solar energy contractor is prohibited from enforcing the terms of the contract, including claims for labor or materials, in a court of law and must terminate any security interest or statutory lien created under the transaction within 20 days of receiving written rescission of the contract from the customer.</w:t>
      </w:r>
    </w:p>
    <w:p>
      <w:pPr>
        <w:spacing w:before="0" w:after="0" w:line="408" w:lineRule="exact"/>
        <w:ind w:left="0" w:right="0" w:firstLine="576"/>
        <w:jc w:val="left"/>
      </w:pPr>
      <w:r>
        <w:rPr/>
        <w:t xml:space="preserve">(4) A person or entity who purchases or is otherwise assigned a solar energy contract is subject to all claims and defenses with respect to the contract that the customer could assert against the solar energy contractor or subcontractor. A person or entity who sells or otherwise assigns a solar energy contract must include a prominent notice of the potential liability under this section.</w:t>
      </w:r>
    </w:p>
    <w:p>
      <w:pPr>
        <w:spacing w:before="0" w:after="0" w:line="408" w:lineRule="exact"/>
        <w:ind w:left="0" w:right="0" w:firstLine="576"/>
        <w:jc w:val="left"/>
      </w:pPr>
      <w:r>
        <w:rPr/>
        <w:t xml:space="preserve">(5) </w:t>
      </w:r>
      <w:r>
        <w:rPr/>
        <w:t xml:space="preserve">The legislature finds and declares that a violation of this chapter substantially affects the public interest and is an unfair and deceptive act or practice and unfair method of competition in the conduct of trade or commerce as set forth under this chapter.</w:t>
      </w:r>
    </w:p>
    <w:p>
      <w:pPr>
        <w:spacing w:before="0" w:after="0" w:line="408" w:lineRule="exact"/>
        <w:ind w:left="0" w:right="0" w:firstLine="576"/>
        <w:jc w:val="left"/>
      </w:pPr>
      <w:r>
        <w:rPr/>
        <w:t xml:space="preserve">(6) </w:t>
      </w:r>
      <w:r>
        <w:rPr/>
        <w:t xml:space="preserve">A solar energy contractor or subcontractor who fails to comply with the requirements of this chapter is liable to the customer for any actual damages sustained by the person as a result of the failure. Nothing in this section limits any cause of action or remedy available under RCW 19.186.050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An entity offering solar energy sales or installation services must offer a contract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By May 1, 2024, the Washington State University extension energy program must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labor unions, consumer advocates, rural communities including communities east of the crest of the Cascade mountains, and Indian tribes.</w:t>
      </w:r>
    </w:p>
    <w:p>
      <w:pPr>
        <w:spacing w:before="0" w:after="0" w:line="408" w:lineRule="exact"/>
        <w:ind w:left="0" w:right="0" w:firstLine="576"/>
        <w:jc w:val="left"/>
      </w:pPr>
      <w:r>
        <w:rPr/>
        <w:t xml:space="preserve">(b) The work group must report recommendations to the Washington State University extension energy program on what alternatives to net metering should be considered by the legislature and when it is reasonable for these alternatives to be implemented. The work group should take into account the findings of the cost shift study required in subsection (2) of this section in its recommendations.</w:t>
      </w:r>
    </w:p>
    <w:p>
      <w:pPr>
        <w:spacing w:before="0" w:after="0" w:line="408" w:lineRule="exact"/>
        <w:ind w:left="0" w:right="0" w:firstLine="576"/>
        <w:jc w:val="left"/>
      </w:pPr>
      <w:r>
        <w:rPr/>
        <w:t xml:space="preserve">(c) As part of its recommendations, the work group must consider the implications for the solar industry workforce, rate of deployment of consumer-owned solar and storage, future electric load growth, reduction in utility income associated with different levels of net metering, and equitable distribution of the benefits of consumer-owned solar and storage.</w:t>
      </w:r>
    </w:p>
    <w:p>
      <w:pPr>
        <w:spacing w:before="0" w:after="0" w:line="408" w:lineRule="exact"/>
        <w:ind w:left="0" w:right="0" w:firstLine="576"/>
        <w:jc w:val="left"/>
      </w:pPr>
      <w:r>
        <w:rPr/>
        <w:t xml:space="preserve">(d) The work group must provide an inventory of other states' deviation from net metering laws and the impact deviating from retail net metering had on solar installations, solar installers, utilities, utility customers, rural land, tribal land, and customer-generator payback periods. The work group must consider whether it is reasonable for utilities to count consumer-owned clean energy systems in their service territory toward their clean energy transformation act compliance targets.</w:t>
      </w:r>
    </w:p>
    <w:p>
      <w:pPr>
        <w:spacing w:before="0" w:after="0" w:line="408" w:lineRule="exact"/>
        <w:ind w:left="0" w:right="0" w:firstLine="576"/>
        <w:jc w:val="left"/>
      </w:pPr>
      <w:r>
        <w:rPr/>
        <w:t xml:space="preserve">(2) By January 31, 2024, the Washington State University extension energy program must begin to conduct a study to investigate the magnitude of any cost shifts among ratepayers associated with retail rate net metering in Washington state, under scenarios assuming total net metered generation capacity of six percent, 12 percent, and 24 percent of 1996 peak power.</w:t>
      </w:r>
    </w:p>
    <w:p>
      <w:pPr>
        <w:spacing w:before="0" w:after="0" w:line="408" w:lineRule="exact"/>
        <w:ind w:left="0" w:right="0" w:firstLine="576"/>
        <w:jc w:val="left"/>
      </w:pPr>
      <w:r>
        <w:rPr/>
        <w:t xml:space="preserve">(3) The Washington State University extension energy program must summarize the work group's recommendations and the findings of the cost shift study in a report and must deliver the report to the appropriate committees of the legislature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the intent of the legislature that the state's net metering policy is updated and implemented by January 1, 2035.</w:t>
      </w:r>
    </w:p>
    <w:p>
      <w:pPr>
        <w:spacing w:before="0" w:after="0" w:line="408" w:lineRule="exact"/>
        <w:ind w:left="0" w:right="0" w:firstLine="576"/>
        <w:jc w:val="left"/>
      </w:pPr>
      <w:r>
        <w:rPr/>
        <w:t xml:space="preserve">(2) Any rate or tariff schedule offered by an electric utility under a future net metering policy must:</w:t>
      </w:r>
    </w:p>
    <w:p>
      <w:pPr>
        <w:spacing w:before="0" w:after="0" w:line="408" w:lineRule="exact"/>
        <w:ind w:left="0" w:right="0" w:firstLine="576"/>
        <w:jc w:val="left"/>
      </w:pPr>
      <w:r>
        <w:rPr/>
        <w:t xml:space="preserve">(a) Compensate customer-generators at a rate that is different than the retail rate;</w:t>
      </w:r>
    </w:p>
    <w:p>
      <w:pPr>
        <w:spacing w:before="0" w:after="0" w:line="408" w:lineRule="exact"/>
        <w:ind w:left="0" w:right="0" w:firstLine="576"/>
        <w:jc w:val="left"/>
      </w:pPr>
      <w:r>
        <w:rPr/>
        <w:t xml:space="preserve">(b) Be expressed as a percentage of the utility's retail rate;</w:t>
      </w:r>
    </w:p>
    <w:p>
      <w:pPr>
        <w:spacing w:before="0" w:after="0" w:line="408" w:lineRule="exact"/>
        <w:ind w:left="0" w:right="0" w:firstLine="576"/>
        <w:jc w:val="left"/>
      </w:pPr>
      <w:r>
        <w:rPr/>
        <w:t xml:space="preserve">(c) Be communicated to customers with three year's notice from when the rate or tariff schedule is first publicly proposed to before it would go into effect; and</w:t>
      </w:r>
    </w:p>
    <w:p>
      <w:pPr>
        <w:spacing w:before="0" w:after="0" w:line="408" w:lineRule="exact"/>
        <w:ind w:left="0" w:right="0" w:firstLine="576"/>
        <w:jc w:val="left"/>
      </w:pPr>
      <w:r>
        <w:rPr/>
        <w:t xml:space="preserve">(d) Allow for inclusion of time-of-use net metering rate structures for distributed storage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solar energy resiliency act.</w:t>
      </w:r>
    </w:p>
    <w:p/>
    <w:p>
      <w:pPr>
        <w:jc w:val="center"/>
      </w:pPr>
      <w:r>
        <w:rPr>
          <w:b/>
        </w:rPr>
        <w:t>--- END ---</w:t>
      </w:r>
    </w:p>
    <w:sectPr>
      <w:pgNumType w:start="1"/>
      <w:footerReference xmlns:r="http://schemas.openxmlformats.org/officeDocument/2006/relationships" r:id="Rd2f0ae6cc42642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345c9aeddf4683" /><Relationship Type="http://schemas.openxmlformats.org/officeDocument/2006/relationships/footer" Target="/word/footer1.xml" Id="Rd2f0ae6cc426425e" /></Relationships>
</file>