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6eed4d4e048a5" /></Relationships>
</file>

<file path=word/document.xml><?xml version="1.0" encoding="utf-8"?>
<w:document xmlns:w="http://schemas.openxmlformats.org/wordprocessingml/2006/main">
  <w:body>
    <w:p>
      <w:r>
        <w:t>H-1345.1</w:t>
      </w:r>
    </w:p>
    <w:p>
      <w:pPr>
        <w:jc w:val="center"/>
      </w:pPr>
      <w:r>
        <w:t>_______________________________________________</w:t>
      </w:r>
    </w:p>
    <w:p/>
    <w:p>
      <w:pPr>
        <w:jc w:val="center"/>
      </w:pPr>
      <w:r>
        <w:rPr>
          <w:b/>
        </w:rPr>
        <w:t>SUBSTITUTE HOUSE BILL 1430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Eslick and Caldier)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contract with an external organization to:</w:t>
      </w:r>
    </w:p>
    <w:p>
      <w:pPr>
        <w:spacing w:before="0" w:after="0" w:line="408" w:lineRule="exact"/>
        <w:ind w:left="0" w:right="0" w:firstLine="576"/>
        <w:jc w:val="left"/>
      </w:pPr>
      <w:r>
        <w:rPr/>
        <w:t xml:space="preserve">(a) Conduct a performance evaluation of department of children, youth, and families policies, procedures, and practices related to communication between the department and caregivers of children receiving child welfare services;</w:t>
      </w:r>
    </w:p>
    <w:p>
      <w:pPr>
        <w:spacing w:before="0" w:after="0" w:line="408" w:lineRule="exact"/>
        <w:ind w:left="0" w:right="0" w:firstLine="576"/>
        <w:jc w:val="left"/>
      </w:pPr>
      <w:r>
        <w:rPr/>
        <w:t xml:space="preserve">(b) Provide recommendations regarding improving department of children, youth, and families policies, procedures, and practices related to communication between the department and caregivers of children receiving child welfare services; and</w:t>
      </w:r>
    </w:p>
    <w:p>
      <w:pPr>
        <w:spacing w:before="0" w:after="0" w:line="408" w:lineRule="exact"/>
        <w:ind w:left="0" w:right="0" w:firstLine="576"/>
        <w:jc w:val="left"/>
      </w:pPr>
      <w:r>
        <w:rPr/>
        <w:t xml:space="preserve">(c) Consult with existing or former foster parents and a statewide organization dedicated to supporting adoptive, foster, kinship, and birth parent voices in conducting the evaluation and providing recommendations required under this subsection (1).</w:t>
      </w:r>
    </w:p>
    <w:p>
      <w:pPr>
        <w:spacing w:before="0" w:after="0" w:line="408" w:lineRule="exact"/>
        <w:ind w:left="0" w:right="0" w:firstLine="576"/>
        <w:jc w:val="left"/>
      </w:pPr>
      <w:r>
        <w:rPr/>
        <w:t xml:space="preserve">(2) The department of children, youth, and families shall make the evaluation and recommendations from the external organization under subsection (1) of this section available to the public on its website.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 and</w:t>
      </w:r>
    </w:p>
    <w:p>
      <w:pPr>
        <w:spacing w:before="0" w:after="0" w:line="408" w:lineRule="exact"/>
        <w:ind w:left="0" w:right="0" w:firstLine="576"/>
        <w:jc w:val="left"/>
      </w:pPr>
      <w:r>
        <w:rPr/>
        <w:t xml:space="preserve">(b) Any statutory, policy, or funding changes needed to accomplish the automated notification system described in (a) of this subsection.</w:t>
      </w:r>
    </w:p>
    <w:p>
      <w:pPr>
        <w:spacing w:before="0" w:after="0" w:line="408" w:lineRule="exact"/>
        <w:ind w:left="0" w:right="0" w:firstLine="576"/>
        <w:jc w:val="left"/>
      </w:pPr>
      <w:r>
        <w:rPr/>
        <w:t xml:space="preserve">(2) This section expires April 1, 2025.</w:t>
      </w:r>
    </w:p>
    <w:p/>
    <w:p>
      <w:pPr>
        <w:jc w:val="center"/>
      </w:pPr>
      <w:r>
        <w:rPr>
          <w:b/>
        </w:rPr>
        <w:t>--- END ---</w:t>
      </w:r>
    </w:p>
    <w:sectPr>
      <w:pgNumType w:start="1"/>
      <w:footerReference xmlns:r="http://schemas.openxmlformats.org/officeDocument/2006/relationships" r:id="R9f4856cc07a84a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7a3dc3e2d4448" /><Relationship Type="http://schemas.openxmlformats.org/officeDocument/2006/relationships/footer" Target="/word/footer1.xml" Id="R9f4856cc07a84a36" /></Relationships>
</file>