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644c0d1af04189" /></Relationships>
</file>

<file path=word/document.xml><?xml version="1.0" encoding="utf-8"?>
<w:document xmlns:w="http://schemas.openxmlformats.org/wordprocessingml/2006/main">
  <w:body>
    <w:p>
      <w:r>
        <w:t>Z-0324.1</w:t>
      </w:r>
    </w:p>
    <w:p>
      <w:pPr>
        <w:jc w:val="center"/>
      </w:pPr>
      <w:r>
        <w:t>_______________________________________________</w:t>
      </w:r>
    </w:p>
    <w:p/>
    <w:p>
      <w:pPr>
        <w:jc w:val="center"/>
      </w:pPr>
      <w:r>
        <w:rPr>
          <w:b/>
        </w:rPr>
        <w:t>HOUSE BILL 1460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Waters, Simmons, Kloba, Pollet, Davis, and Macri; by request of Department of Natural Resources</w:t>
      </w:r>
    </w:p>
    <w:p/>
    <w:p>
      <w:r>
        <w:rPr>
          <w:t xml:space="preserve">Read first time 01/19/23.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natural resources trust land management; amending RCW 79.17.020, 79.17.210, 79.22.060, 43.30.385, 79.19.020, 79.19.030, 79.11.340, and 79.22.140; reenacting and amending RCW 79.64.110; adding new sections to chapter 79.17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(2)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0" w:after="0" w:line="408" w:lineRule="exact"/>
        <w:ind w:left="0" w:right="0" w:firstLine="576"/>
        <w:jc w:val="left"/>
      </w:pPr>
      <w:r>
        <w:rPr/>
        <w:t xml:space="preserve">(3) Transfers funded by legislative appropriation must be at fair market value, including the value of land, timber, other valuable materials, and improvements owned by the state. The legislative appropriation must be deposited in the natural resources real property replacement account created in RCW 79.17.210 and the parkland trust revolving fund established in RCW 43.30.385, as appropriate.</w:t>
      </w:r>
    </w:p>
    <w:p>
      <w:pPr>
        <w:spacing w:before="0" w:after="0" w:line="408" w:lineRule="exact"/>
        <w:ind w:left="0" w:right="0" w:firstLine="576"/>
        <w:jc w:val="left"/>
      </w:pPr>
      <w:r>
        <w:rPr/>
        <w:t xml:space="preserve">(4) The department shall prioritize the acquisition of working farms and forests when acquiring replacement real property for state lands transferred under this program when it can be demonstrated that the trust fiduciary obligations can be better fulfilled with these lands. The department shall endeavor to acquire replacement real property as quickly as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9,000 acres or parcels over an estimated appraised market value of $30,000,000,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tribes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a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 as provided in RCW 79.64.110 and located within any county participating in the land pool.</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 as provided in RCW 79.64.110 and located within any county participating in the land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140</w:t>
      </w:r>
      <w:r>
        <w:rPr/>
        <w:t xml:space="preserve"> and 2012 c 166 s 3 are each amended to read as follows:</w:t>
      </w:r>
    </w:p>
    <w:p>
      <w:pPr>
        <w:spacing w:before="0" w:after="0" w:line="408" w:lineRule="exact"/>
        <w:ind w:left="0" w:right="0" w:firstLine="576"/>
        <w:jc w:val="left"/>
      </w:pPr>
      <w:r>
        <w:rPr/>
        <w:t xml:space="preserve">(1) The board may create a state forestland pool, to be managed in accordance with this section, if the board determines that creation of a land pool is in the best interest of the state or affected trust, based on an analysis prepared by the department under RCW 79.22.150. </w:t>
      </w:r>
      <w:r>
        <w:t>((</w:t>
      </w:r>
      <w:r>
        <w:rPr>
          <w:strike/>
        </w:rPr>
        <w:t xml:space="preserve">The land pool may not contain more than ten thousand acres of state forestland at any one time.</w:t>
      </w:r>
      <w:r>
        <w:t>))</w:t>
      </w:r>
    </w:p>
    <w:p>
      <w:pPr>
        <w:spacing w:before="0" w:after="0" w:line="408" w:lineRule="exact"/>
        <w:ind w:left="0" w:right="0" w:firstLine="576"/>
        <w:jc w:val="left"/>
      </w:pPr>
      <w:r>
        <w:rPr/>
        <w:t xml:space="preserve">(2) A county is eligible to participate in a land pool if the board determines it</w:t>
      </w:r>
      <w:r>
        <w:t>((</w:t>
      </w:r>
      <w:r>
        <w:rPr>
          <w:strike/>
        </w:rPr>
        <w:t xml:space="preserve">:</w:t>
      </w:r>
    </w:p>
    <w:p>
      <w:pPr>
        <w:spacing w:before="0" w:after="0" w:line="408" w:lineRule="exact"/>
        <w:ind w:left="0" w:right="0" w:firstLine="576"/>
        <w:jc w:val="left"/>
      </w:pPr>
      <w:r>
        <w:rPr>
          <w:strike/>
        </w:rPr>
        <w:t xml:space="preserve">(a) Has a population of twenty-five thousand or less; and</w:t>
      </w:r>
    </w:p>
    <w:p>
      <w:pPr>
        <w:spacing w:before="0" w:after="0" w:line="408" w:lineRule="exact"/>
        <w:ind w:left="0" w:right="0" w:firstLine="576"/>
        <w:jc w:val="left"/>
      </w:pPr>
      <w:r>
        <w:rPr>
          <w:strike/>
        </w:rPr>
        <w:t xml:space="preserve">(b) Has</w:t>
      </w:r>
      <w:r>
        <w:t>))</w:t>
      </w:r>
      <w:r>
        <w:rPr/>
        <w:t xml:space="preserve"> </w:t>
      </w:r>
      <w:r>
        <w:rPr>
          <w:u w:val="single"/>
        </w:rPr>
        <w:t xml:space="preserve">has</w:t>
      </w:r>
      <w:r>
        <w:rPr/>
        <w:t xml:space="preserve"> existing state forestlands encumbered with timber harvest deferrals, associated with wildlife species listed under the federal endangered species act, more than </w:t>
      </w:r>
      <w:r>
        <w:t>((</w:t>
      </w:r>
      <w:r>
        <w:rPr>
          <w:strike/>
        </w:rPr>
        <w:t xml:space="preserve">thirty</w:t>
      </w:r>
      <w:r>
        <w:t>))</w:t>
      </w:r>
      <w:r>
        <w:rPr/>
        <w:t xml:space="preserve"> </w:t>
      </w:r>
      <w:r>
        <w:rPr>
          <w:u w:val="single"/>
        </w:rPr>
        <w:t xml:space="preserve">30</w:t>
      </w:r>
      <w:r>
        <w:rPr/>
        <w:t xml:space="preserve"> years in length.</w:t>
      </w:r>
    </w:p>
    <w:p>
      <w:pPr>
        <w:spacing w:before="0" w:after="0" w:line="408" w:lineRule="exact"/>
        <w:ind w:left="0" w:right="0" w:firstLine="576"/>
        <w:jc w:val="left"/>
      </w:pPr>
      <w:r>
        <w:rPr/>
        <w:t xml:space="preserve">(3) All lands in the land pool are state forestlands and must be managed in the same manner and with the same responsibilities as other state forestlands. Proceeds from the state forestland pool must, except as provided in RCW 79.64.110, be distributed under RCW 79.22.010 and 79.22.040.</w:t>
      </w:r>
    </w:p>
    <w:p>
      <w:pPr>
        <w:spacing w:before="0" w:after="0" w:line="408" w:lineRule="exact"/>
        <w:ind w:left="0" w:right="0" w:firstLine="576"/>
        <w:jc w:val="left"/>
      </w:pPr>
      <w:r>
        <w:rPr/>
        <w:t xml:space="preserve">(4)(a) A county may participate in the land pool only if it is eligible, as determined under subsection (2) of this section, and the board receives a written request to do so by the legislative authority of that county.</w:t>
      </w:r>
    </w:p>
    <w:p>
      <w:pPr>
        <w:spacing w:before="0" w:after="0" w:line="408" w:lineRule="exact"/>
        <w:ind w:left="0" w:right="0" w:firstLine="576"/>
        <w:jc w:val="left"/>
      </w:pPr>
      <w:r>
        <w:rPr/>
        <w:t xml:space="preserve">(b) The board shall end any further participation of a county in the land pool if it receives a written request to do so by the legislative authority of that county. If the board receives such a request, that county's interest in the land pool as a beneficiary remains, but no new contributions of asset value may be made to the land pool on behalf of the county and no new lands may be purchased in that county for the land pool.</w:t>
      </w:r>
    </w:p>
    <w:p>
      <w:pPr>
        <w:spacing w:before="0" w:after="0" w:line="408" w:lineRule="exact"/>
        <w:ind w:left="0" w:right="0" w:firstLine="576"/>
        <w:jc w:val="left"/>
      </w:pPr>
      <w:r>
        <w:rPr/>
        <w:t xml:space="preserve">(5)(a) If a land pool is created by the board, the department and the participating counties must develop a funding strategy for acquiring land to include in the land pool.</w:t>
      </w:r>
    </w:p>
    <w:p>
      <w:pPr>
        <w:spacing w:before="0" w:after="0" w:line="408" w:lineRule="exact"/>
        <w:ind w:left="0" w:right="0" w:firstLine="576"/>
        <w:jc w:val="left"/>
      </w:pPr>
      <w:r>
        <w:rPr/>
        <w:t xml:space="preserve">(b) The department and participating counties may pursue funding for the transfer of state forestland encumbered by long-term wildlife-related harvest deferrals within the participating counties into status as a natural resources conservation area under chapter 79.71 RCW, and use the value of the transferred land to acquire working forestlands to include in the land pool.</w:t>
      </w:r>
    </w:p>
    <w:p>
      <w:pPr>
        <w:spacing w:before="0" w:after="0" w:line="408" w:lineRule="exact"/>
        <w:ind w:left="0" w:right="0" w:firstLine="576"/>
        <w:jc w:val="left"/>
      </w:pPr>
      <w:r>
        <w:rPr/>
        <w:t xml:space="preserve">(c) The department and participating counties may pursue other land acquisition funding strategies.</w:t>
      </w:r>
    </w:p>
    <w:p>
      <w:pPr>
        <w:spacing w:before="0" w:after="0" w:line="408" w:lineRule="exact"/>
        <w:ind w:left="0" w:right="0" w:firstLine="576"/>
        <w:jc w:val="left"/>
      </w:pPr>
      <w:r>
        <w:rPr>
          <w:u w:val="single"/>
        </w:rPr>
        <w:t xml:space="preserve">(6)(a) Replacement forestland may be acquired in counties proximate to the county or counties that will benefit from the replacement state forestland purchase if the proximate county in which the replacement lands will be purchased is willing to enter into a proximate county agreement.</w:t>
      </w:r>
    </w:p>
    <w:p>
      <w:pPr>
        <w:spacing w:before="0" w:after="0" w:line="408" w:lineRule="exact"/>
        <w:ind w:left="0" w:right="0" w:firstLine="576"/>
        <w:jc w:val="left"/>
      </w:pPr>
      <w:r>
        <w:rPr>
          <w:u w:val="single"/>
        </w:rPr>
        <w:t xml:space="preserve">(b) The proximate county agreement must stipulate that lands acquired within the proximate county for the benefit of encumbered lands counties will be offset by encumbered lands within the encumbered lands counties enrolled in department conservation programs as appropriate, and the corresponding payments in lieu of taxes will be paid to the proximate county annually. The proximate county agreement must also stipulate that the county where replacement state forestlands are purchased is prohibited from objecting or otherwise taking steps to prevent harvesting forest products and other revenue-producing activity consistent with and commonplace on timber resource lands.</w:t>
      </w:r>
    </w:p>
    <w:p>
      <w:pPr>
        <w:spacing w:before="0" w:after="0" w:line="408" w:lineRule="exact"/>
        <w:ind w:left="0" w:right="0" w:firstLine="576"/>
        <w:jc w:val="left"/>
      </w:pPr>
      <w:r>
        <w:rPr>
          <w:u w:val="single"/>
        </w:rPr>
        <w:t xml:space="preserve">(7) If a county in which replacement state forestlands are purchased chooses to terminate a proximate county agreement, such a county is liable for the total value of the replacement state forestlands to the county or counties to which the benefits from the replacement state forestlands are directed.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
      <w:pPr>
        <w:jc w:val="center"/>
      </w:pPr>
      <w:r>
        <w:rPr>
          <w:b/>
        </w:rPr>
        <w:t>--- END ---</w:t>
      </w:r>
    </w:p>
    <w:sectPr>
      <w:pgNumType w:start="1"/>
      <w:footerReference xmlns:r="http://schemas.openxmlformats.org/officeDocument/2006/relationships" r:id="Rf0c7242bec894a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3e15c44dc4197" /><Relationship Type="http://schemas.openxmlformats.org/officeDocument/2006/relationships/footer" Target="/word/footer1.xml" Id="Rf0c7242bec894a4a" /></Relationships>
</file>