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a48ea97539479c" /></Relationships>
</file>

<file path=word/document.xml><?xml version="1.0" encoding="utf-8"?>
<w:document xmlns:w="http://schemas.openxmlformats.org/wordprocessingml/2006/main">
  <w:body>
    <w:p>
      <w:r>
        <w:t>H-0649.1</w:t>
      </w:r>
    </w:p>
    <w:p>
      <w:pPr>
        <w:jc w:val="center"/>
      </w:pPr>
      <w:r>
        <w:t>_______________________________________________</w:t>
      </w:r>
    </w:p>
    <w:p/>
    <w:p>
      <w:pPr>
        <w:jc w:val="center"/>
      </w:pPr>
      <w:r>
        <w:rPr>
          <w:b/>
        </w:rPr>
        <w:t>HOUSE BILL 1502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Berry, Gregerson, Simmons, Walen, Reeves, Doglio, Macri, Reed, Ortiz-Self, Riccelli, and Fosse</w:t>
      </w:r>
    </w:p>
    <w:p/>
    <w:p>
      <w:r>
        <w:rPr>
          <w:t xml:space="preserve">Read first time 01/23/23.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impacts of job protection on the utilization of paid family medical leave benefits;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University of Washington, through the Evans School of Public Policy and Governance, shall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(2) At a minimum, the study must assess the following:</w:t>
      </w:r>
    </w:p>
    <w:p>
      <w:pPr>
        <w:spacing w:before="0" w:after="0" w:line="408" w:lineRule="exact"/>
        <w:ind w:left="0" w:right="0" w:firstLine="576"/>
        <w:jc w:val="left"/>
      </w:pPr>
      <w:r>
        <w:rPr/>
        <w:t xml:space="preserve">(a)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(b) Worker perspectives on the effects of job protection under RCW 50A.35.010 and the federal family and medical leave act on the use of paid leave benefits under chapter 50A.15; and</w:t>
      </w:r>
    </w:p>
    <w:p>
      <w:pPr>
        <w:spacing w:before="0" w:after="0" w:line="408" w:lineRule="exact"/>
        <w:ind w:left="0" w:right="0" w:firstLine="576"/>
        <w:jc w:val="left"/>
      </w:pPr>
      <w:r>
        <w:rPr/>
        <w:t xml:space="preserve">(c) Employment outcomes and other impacts for persons using paid leave benefits under chapter 50A.15 RCW.</w:t>
      </w:r>
    </w:p>
    <w:p>
      <w:pPr>
        <w:spacing w:before="0" w:after="0" w:line="408" w:lineRule="exact"/>
        <w:ind w:left="0" w:right="0" w:firstLine="576"/>
        <w:jc w:val="left"/>
      </w:pPr>
      <w:r>
        <w:rPr/>
        <w:t xml:space="preserve">(3)(a)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(b) In developing the study, the university must consult with the advisory committee under RCW 50A.05.030, including the following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(c) The university may use a combination of private and public resources to design and conduct the study.</w:t>
      </w:r>
    </w:p>
    <w:p>
      <w:pPr>
        <w:spacing w:before="0" w:after="0" w:line="408" w:lineRule="exact"/>
        <w:ind w:left="0" w:right="0" w:firstLine="576"/>
        <w:jc w:val="left"/>
      </w:pPr>
      <w:r>
        <w:rPr/>
        <w:t xml:space="preserve">(4) For the purposes of facilitating the study under this section, the employment security department must:</w:t>
      </w:r>
    </w:p>
    <w:p>
      <w:pPr>
        <w:spacing w:before="0" w:after="0" w:line="408" w:lineRule="exact"/>
        <w:ind w:left="0" w:right="0" w:firstLine="576"/>
        <w:jc w:val="left"/>
      </w:pPr>
      <w:r>
        <w:rPr/>
        <w:t xml:space="preserve">(a) Enter into a data-sharing agreement with the university in accordance with RCW 50A.25.070(3); and</w:t>
      </w:r>
    </w:p>
    <w:p>
      <w:pPr>
        <w:spacing w:before="0" w:after="0" w:line="408" w:lineRule="exact"/>
        <w:ind w:left="0" w:right="0" w:firstLine="576"/>
        <w:jc w:val="left"/>
      </w:pPr>
      <w:r>
        <w:rPr/>
        <w:t xml:space="preserve">(b) Provide technical assistance to, and consult with, the university as necessary.</w:t>
      </w:r>
    </w:p>
    <w:p>
      <w:pPr>
        <w:spacing w:before="0" w:after="0" w:line="408" w:lineRule="exact"/>
        <w:ind w:left="0" w:right="0" w:firstLine="576"/>
        <w:jc w:val="left"/>
      </w:pPr>
      <w:r>
        <w:rPr/>
        <w:t xml:space="preserve">(5) The university must submit a preliminary report, including the initial research design and available preliminary results, by December 1, 2023, and a final report by December 1, 2024, to the governor and the appropriate policy and fiscal committees of the legislature, in accordance with RCW 43.01.036.</w:t>
      </w:r>
    </w:p>
    <w:p/>
    <w:p>
      <w:pPr>
        <w:jc w:val="center"/>
      </w:pPr>
      <w:r>
        <w:rPr>
          <w:b/>
        </w:rPr>
        <w:t>--- END ---</w:t>
      </w:r>
    </w:p>
    <w:sectPr>
      <w:pgNumType w:start="1"/>
      <w:footerReference xmlns:r="http://schemas.openxmlformats.org/officeDocument/2006/relationships" r:id="Rbd4857b998714f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fb0895bfef493d" /><Relationship Type="http://schemas.openxmlformats.org/officeDocument/2006/relationships/footer" Target="/word/footer1.xml" Id="Rbd4857b998714fe7" /></Relationships>
</file>