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ca88367d6243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Riccelli, Simmons, Fitzgibbon, Berry, Alvarado, Bateman, Ormsby, Doglio, Reed, Callan, Stonier, Tharinger,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70.390.020, 70.390.040, 70.390.050, 70.390.070, and 70.405.030; adding new sections to chapter 70.390 RCW; adding a new section to chapter 43.71C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Although the legislature established the health care cost transparency board in 2020 and the board has established a health care cost growth benchmark to monitor cost growth, health care costs and spending continue to rise. According to the health care cost transparency board, research demonstrates that Washington's health care cost trends, particularly hospital and pharmacy costs, outpace other states and the national average;</w:t>
      </w:r>
    </w:p>
    <w:p>
      <w:pPr>
        <w:spacing w:before="0" w:after="0" w:line="408" w:lineRule="exact"/>
        <w:ind w:left="0" w:right="0" w:firstLine="576"/>
        <w:jc w:val="left"/>
      </w:pPr>
      <w:r>
        <w:rPr/>
        <w:t xml:space="preserve">(b) According to the commonwealth fund, Washington workers and businesses have seen double-digit increases for employer-based health insurance over the last decade, with the total average premium for a single worker rising by 49 percent and the deductible rising by 51 percent from 2010 through 2020;</w:t>
      </w:r>
    </w:p>
    <w:p>
      <w:pPr>
        <w:spacing w:before="0" w:after="0" w:line="408" w:lineRule="exact"/>
        <w:ind w:left="0" w:right="0" w:firstLine="576"/>
        <w:jc w:val="left"/>
      </w:pPr>
      <w:r>
        <w:rPr/>
        <w:t xml:space="preserve">(c) According to an analysis by the office of the insurance commissioner, health care spending in Washington's commercial market grew by 13 percent from 2016 to 2019, even though inflation grew by only seven percent of this period;</w:t>
      </w:r>
    </w:p>
    <w:p>
      <w:pPr>
        <w:spacing w:before="0" w:after="0" w:line="408" w:lineRule="exact"/>
        <w:ind w:left="0" w:right="0" w:firstLine="576"/>
        <w:jc w:val="left"/>
      </w:pPr>
      <w:r>
        <w:rPr/>
        <w:t xml:space="preserve">(d) According to the office of financial management, health care spending now accounts for 20 percent of Washington's state general fund budget; and</w:t>
      </w:r>
    </w:p>
    <w:p>
      <w:pPr>
        <w:spacing w:before="0" w:after="0" w:line="408" w:lineRule="exact"/>
        <w:ind w:left="0" w:right="0" w:firstLine="576"/>
        <w:jc w:val="left"/>
      </w:pPr>
      <w:r>
        <w:rPr/>
        <w:t xml:space="preserve">(e) In a recent survey by Altarum, more than 60 percent of Washingtonians surveyed in 2022 reported experiencing a health care affordability burden in the last year. More than half of respondents reported delaying or skipping care due to cost. More than 80 percent of respondents said the government should set limits on health care spending growth and penalize payers or providers that fail to curb excessive spending growth.</w:t>
      </w:r>
    </w:p>
    <w:p>
      <w:pPr>
        <w:spacing w:before="0" w:after="0" w:line="408" w:lineRule="exact"/>
        <w:ind w:left="0" w:right="0" w:firstLine="576"/>
        <w:jc w:val="left"/>
      </w:pPr>
      <w:r>
        <w:rPr/>
        <w:t xml:space="preserve">(2) The legislature intends to empower the health care cost transparency board to accelerate its work to analyze the underlying drivers of health care cost growth, and further to take action to address outlier spending that exceeds the health care cost growth benchmark. Such action should be implemented in a progressive manner, such that health care providers and payers are assisted to come into compliance with cost targets, including through technical assistance and performance improvement plans, before assessing fines, unless there are egregious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u w:val="single"/>
        </w:rPr>
        <w:t xml:space="preserve">(1)</w:t>
      </w:r>
      <w:r>
        <w:rPr/>
        <w:t xml:space="preserve"> The authority shall establish a board to be known as the health care cost transparency board. The board is responsible for the analysis of total health care expenditures in Washington, identifying trends in health care cost growth, </w:t>
      </w:r>
      <w:r>
        <w:rPr>
          <w:u w:val="single"/>
        </w:rPr>
        <w:t xml:space="preserve">identifying drivers of health care cost growth,</w:t>
      </w:r>
      <w:r>
        <w:rPr/>
        <w:t xml:space="preserve">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 </w:t>
      </w:r>
      <w:r>
        <w:rPr>
          <w:u w:val="single"/>
        </w:rPr>
        <w:t xml:space="preserve">The board's analysis must be performed by individuals with relevant expertise.</w:t>
      </w:r>
    </w:p>
    <w:p>
      <w:pPr>
        <w:spacing w:before="0" w:after="0" w:line="408" w:lineRule="exact"/>
        <w:ind w:left="0" w:right="0" w:firstLine="576"/>
        <w:jc w:val="left"/>
      </w:pPr>
      <w:r>
        <w:rPr>
          <w:u w:val="single"/>
        </w:rPr>
        <w:t xml:space="preserve">(2) The authority is authorized to conduct activities necessary to support the activities and decisions of the board, including activities related to data collection and analysis, the provision of technical assistance, and the enforcement of performance improvement plan submissions and the payment of fees and fines issued by the board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w:t>
      </w:r>
      <w:r>
        <w:t>((</w:t>
      </w:r>
      <w:r>
        <w:rPr>
          <w:strike/>
        </w:rPr>
        <w:t xml:space="preserve">an</w:t>
      </w:r>
      <w:r>
        <w:t>))</w:t>
      </w:r>
      <w:r>
        <w:rPr/>
        <w:t xml:space="preserve"> </w:t>
      </w:r>
      <w:r>
        <w:rPr>
          <w:u w:val="single"/>
        </w:rPr>
        <w:t xml:space="preserve">a health care stakeholder</w:t>
      </w:r>
      <w:r>
        <w:rPr/>
        <w:t xml:space="preserve"> advisory committee </w:t>
      </w:r>
      <w:r>
        <w:t>((</w:t>
      </w:r>
      <w:r>
        <w:rPr>
          <w:strike/>
        </w:rPr>
        <w:t xml:space="preserve">of health care providers and carriers</w:t>
      </w:r>
      <w:r>
        <w:t>))</w:t>
      </w:r>
      <w:r>
        <w:rPr/>
        <w:t xml:space="preserve">. The board may establish other advisory committees as it finds necessary. </w:t>
      </w:r>
      <w:r>
        <w:rPr>
          <w:u w:val="single"/>
        </w:rPr>
        <w:t xml:space="preserve">Any other standing advisory committee established by the board shall include members representing the interests of consumer, labor, and employer purchasers, at a minimum, and may include other stakeholders with expertise in the subject of the advisory committee, such as health care providers, payers, and health care cost researchers.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w:t>
      </w:r>
      <w:r>
        <w:t>((</w:t>
      </w:r>
      <w:r>
        <w:rPr>
          <w:strike/>
        </w:rPr>
        <w:t xml:space="preserve">and</w:t>
      </w:r>
      <w:r>
        <w:t>))</w:t>
      </w:r>
      <w:r>
        <w:rPr/>
        <w:t xml:space="preserve"> actuarial analysis</w:t>
      </w:r>
      <w:r>
        <w:rPr>
          <w:u w:val="single"/>
        </w:rPr>
        <w:t xml:space="preserve">, or other relevant expertise related to health data</w:t>
      </w:r>
      <w:r>
        <w:rPr/>
        <w:t xml:space="preserve">.</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w:t>
      </w:r>
      <w:r>
        <w:rPr>
          <w:u w:val="single"/>
        </w:rPr>
        <w:t xml:space="preserve">shall</w:t>
      </w:r>
      <w:r>
        <w:rPr/>
        <w:t xml:space="preserve"> seek input and recommendations from </w:t>
      </w:r>
      <w:r>
        <w:t>((</w:t>
      </w:r>
      <w:r>
        <w:rPr>
          <w:strike/>
        </w:rPr>
        <w:t xml:space="preserve">the</w:t>
      </w:r>
      <w:r>
        <w:t>))</w:t>
      </w:r>
      <w:r>
        <w:rPr/>
        <w:t xml:space="preserve"> </w:t>
      </w:r>
      <w:r>
        <w:rPr>
          <w:u w:val="single"/>
        </w:rPr>
        <w:t xml:space="preserve">relevant</w:t>
      </w:r>
      <w:r>
        <w:rPr/>
        <w:t xml:space="preserve"> advisory committees </w:t>
      </w:r>
      <w:r>
        <w:t>((</w:t>
      </w:r>
      <w:r>
        <w:rPr>
          <w:strike/>
        </w:rPr>
        <w:t xml:space="preserve">on topics relevant to the work of the board</w:t>
      </w:r>
      <w:r>
        <w:t>))</w:t>
      </w:r>
      <w:r>
        <w:rPr/>
        <w:t xml:space="preserve"> </w:t>
      </w:r>
      <w:r>
        <w:rPr>
          <w:u w:val="single"/>
        </w:rPr>
        <w:t xml:space="preserve">in advance of major votes or decisions, unless exigent conditions require otherwise</w:t>
      </w:r>
      <w:r>
        <w:rPr/>
        <w:t xml:space="preserve">.</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w:t>
      </w:r>
      <w:r>
        <w:rPr>
          <w:u w:val="single"/>
        </w:rPr>
        <w:t xml:space="preserve">and require collection from payers and health care providers of</w:t>
      </w:r>
      <w:r>
        <w:rPr/>
        <w:t xml:space="preserv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data collected under chapters 43.70, 43.71, 43.71C, 43.371, and 70.405 RCW, in its analyses and discussions to the same extent that the custodians of the data are permitted to use the data. The board also may use other available data sources, such as medicare cost reports. As appropriate to promote administrative efficiencies, the board may share its data with the prescription drug affordability board under chapter 70.405 RCW and other health care cost analysis efforts conducted by the state. The board shall not require reporting of the same or similar data from a payer or health care provider if the data are available from an existing source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w:t>
      </w:r>
      <w:r>
        <w:rPr>
          <w:u w:val="single"/>
        </w:rPr>
        <w:t xml:space="preserve">By July 1, 2024, the authority, in consultation with the board, shall adopt rules governing the health care cost growth benchmark that will be applicable beginning in 2026.</w:t>
      </w:r>
      <w:r>
        <w:rPr/>
        <w:t xml:space="preserve"> The activities may include selecting methodologies and determining sources of data. The board shall </w:t>
      </w:r>
      <w:r>
        <w:t>((</w:t>
      </w:r>
      <w:r>
        <w:rPr>
          <w:strike/>
        </w:rPr>
        <w:t xml:space="preserve">accept</w:t>
      </w:r>
      <w:r>
        <w:t>))</w:t>
      </w:r>
      <w:r>
        <w:rPr/>
        <w:t xml:space="preserve"> </w:t>
      </w:r>
      <w:r>
        <w:rPr>
          <w:u w:val="single"/>
        </w:rPr>
        <w:t xml:space="preserve">solicit and consider</w:t>
      </w:r>
      <w:r>
        <w:rPr/>
        <w:t xml:space="preserve"> recommendations from the advisory committee on data issues and the </w:t>
      </w:r>
      <w:r>
        <w:rPr>
          <w:u w:val="single"/>
        </w:rPr>
        <w:t xml:space="preserve">health care stakeholder</w:t>
      </w:r>
      <w:r>
        <w:rPr/>
        <w:t xml:space="preserve"> advisory committee </w:t>
      </w:r>
      <w:r>
        <w:t>((</w:t>
      </w:r>
      <w:r>
        <w:rPr>
          <w:strike/>
        </w:rPr>
        <w:t xml:space="preserve">of health care providers and carriers</w:t>
      </w:r>
      <w:r>
        <w:t>))</w:t>
      </w:r>
      <w:r>
        <w:rPr/>
        <w:t xml:space="preserve">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w:t>
      </w:r>
      <w:r>
        <w:t>((</w:t>
      </w:r>
      <w:r>
        <w:rPr>
          <w:strike/>
        </w:rPr>
        <w:t xml:space="preserve">taking into account</w:t>
      </w:r>
      <w:r>
        <w:t>))</w:t>
      </w:r>
      <w:r>
        <w:rPr/>
        <w:t xml:space="preserve"> </w:t>
      </w:r>
      <w:r>
        <w:rPr>
          <w:u w:val="single"/>
        </w:rPr>
        <w:t xml:space="preserve">both adjusted and unadjusted for</w:t>
      </w:r>
      <w:r>
        <w:rPr/>
        <w:t xml:space="preserve">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w:t>
      </w:r>
      <w:r>
        <w:rPr>
          <w:u w:val="single"/>
        </w:rPr>
        <w:t xml:space="preserve">to the extent data permits. The board may establish, in consultation with the advisory committee on data issues and the health care stakeholder advisory committee, a common risk adjustment methodology for use in relevant analysis</w:t>
      </w:r>
      <w:r>
        <w:rPr/>
        <w:t xml:space="preserve">.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w:t>
      </w:r>
    </w:p>
    <w:p>
      <w:pPr>
        <w:spacing w:before="0" w:after="0" w:line="408" w:lineRule="exact"/>
        <w:ind w:left="0" w:right="0" w:firstLine="576"/>
        <w:jc w:val="left"/>
      </w:pPr>
      <w:r>
        <w:rPr>
          <w:u w:val="single"/>
        </w:rPr>
        <w:t xml:space="preserve">(x) Utilization trends and adjustments for demographic changes and severity of illness;</w:t>
      </w:r>
    </w:p>
    <w:p>
      <w:pPr>
        <w:spacing w:before="0" w:after="0" w:line="408" w:lineRule="exact"/>
        <w:ind w:left="0" w:right="0" w:firstLine="576"/>
        <w:jc w:val="left"/>
      </w:pPr>
      <w:r>
        <w:rPr>
          <w:u w:val="single"/>
        </w:rPr>
        <w:t xml:space="preserve">(xi) New state health insurance benefit mandates enacted by the legislature that require carriers to reimburse the cost of specified procedures or prescriptions; and</w:t>
      </w:r>
    </w:p>
    <w:p>
      <w:pPr>
        <w:spacing w:before="0" w:after="0" w:line="408" w:lineRule="exact"/>
        <w:ind w:left="0" w:right="0" w:firstLine="576"/>
        <w:jc w:val="left"/>
      </w:pPr>
      <w:r>
        <w:rPr>
          <w:u w:val="single"/>
        </w:rPr>
        <w:t xml:space="preserve">(xii) Other cost drivers determined by the board to be informative to determining annual total health care expenditures and establishing the annual health care cost growth benchmark;</w:t>
      </w:r>
    </w:p>
    <w:p>
      <w:pPr>
        <w:spacing w:before="0" w:after="0" w:line="408" w:lineRule="exact"/>
        <w:ind w:left="0" w:right="0" w:firstLine="576"/>
        <w:jc w:val="left"/>
      </w:pPr>
      <w:r>
        <w:rPr>
          <w:u w:val="single"/>
        </w:rPr>
        <w:t xml:space="preserve">(f) Levy civil fines on payers or health care providers that violate the board's data submission requirements, including the failure to submit data, the late submission of data, and the submission of inaccurate data. The board, in consultation with the advisory committee on data issues, shall develop a schedule of civil fines for the violation of data submission requirements that considers the nature of the violation and the characteristics of the violating entity. The board may not levy civil fines under this subsection on health care providers composed of 25 or fewer health care professionals licensed by a disciplining authority under RCW 18.130.040. The authority shall develop rules to implement this subsection, including a data process to verify provider counts; and</w:t>
      </w:r>
    </w:p>
    <w:p>
      <w:pPr>
        <w:spacing w:before="0" w:after="0" w:line="408" w:lineRule="exact"/>
        <w:ind w:left="0" w:right="0" w:firstLine="576"/>
        <w:jc w:val="left"/>
      </w:pPr>
      <w:r>
        <w:rPr>
          <w:u w:val="single"/>
        </w:rPr>
        <w:t xml:space="preserve">(g)</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t>((</w:t>
      </w:r>
      <w:r>
        <w:rPr>
          <w:strike/>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strike/>
        </w:rPr>
        <w:t xml:space="preserve">(2)</w:t>
      </w:r>
      <w:r>
        <w:t>))</w:t>
      </w:r>
      <w:r>
        <w:rPr/>
        <w:t xml:space="preserve">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 </w:t>
      </w:r>
      <w:r>
        <w:rPr>
          <w:u w:val="single"/>
        </w:rPr>
        <w:t xml:space="preserve">Each report must include information about any testimony or public comments received in conjunction with the hearing mandated under section 8 of this act. Beginning with the August 1, 2024, annual report, the annual reports shall include an analysis of the underinsurance survey results obtained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Beginning January 1, 2024, the board shall conduct an annual survey of underinsurance among Washington residents. The survey shall be conducted among a representative sample of Washington residents. Analysis of the survey results shall be disaggregated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subsection (2) of this section as well as the share of Washington residents who delay or forego care due to cost.</w:t>
      </w:r>
    </w:p>
    <w:p>
      <w:pPr>
        <w:spacing w:before="0" w:after="0" w:line="408" w:lineRule="exact"/>
        <w:ind w:left="0" w:right="0" w:firstLine="576"/>
        <w:jc w:val="left"/>
      </w:pPr>
      <w:r>
        <w:rPr/>
        <w:t xml:space="preserve">(2)(a)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(b) By January 1, 2026, the board shall recommend any improvements to the measure of underinsurance defined in (a)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(3) The board may conduct the survey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2024,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conduct a study of costs to the state, whether actual spending or foregone revenue collections, as related to nonprofit health care providers and nonprofit payers, that are not included in the calculation of total health care expenditures. The study shall evaluate how the consideration of state tax preferences, tax deductions, tax-exempt capital financing, and other public reimbursement and funding streams available to nonprofit health care providers and nonprofit payers would affect the calculation of total health care expenditures if they were included in the calculation.</w:t>
      </w:r>
    </w:p>
    <w:p>
      <w:pPr>
        <w:spacing w:before="0" w:after="0" w:line="408" w:lineRule="exact"/>
        <w:ind w:left="0" w:right="0" w:firstLine="576"/>
        <w:jc w:val="left"/>
      </w:pPr>
      <w:r>
        <w:rPr/>
        <w:t xml:space="preserve">(2) The study, as well as recommendations related to whether or not the costs to the state identified in subsection (1) of this section should be included in the calculation of total health care expenditures and incorporated into the health care cost growth benchmark, must be submitted by the board as a part of the August 1, 2025, annual report required under RCW 70.390.070.</w:t>
      </w:r>
    </w:p>
    <w:p>
      <w:pPr>
        <w:spacing w:before="0" w:after="0" w:line="408" w:lineRule="exact"/>
        <w:ind w:left="0" w:right="0" w:firstLine="576"/>
        <w:jc w:val="left"/>
      </w:pPr>
      <w:r>
        <w:rPr/>
        <w:t xml:space="preserve">(3) The board may conduct the study through the authority, by contract with a private entity, or by arrangement with another state agency conducting related work.</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(1)(a) Concurrent with the issuance of the annual report required under RCW 70.390.070, the board shall hold at least one public hearing related to discussing the growth in total health care expenditures in relation to the health care cost growth benchmark in the previous calendar year, as established in the annual report, in accordance with the open public meetings act, chapter 42.30 RCW. The agenda and any materials for this hearing must be made available to the public at least seven days prior to the hearing.</w:t>
      </w:r>
    </w:p>
    <w:p>
      <w:pPr>
        <w:spacing w:before="0" w:after="0" w:line="408" w:lineRule="exact"/>
        <w:ind w:left="0" w:right="0" w:firstLine="576"/>
        <w:jc w:val="left"/>
      </w:pPr>
      <w:r>
        <w:rPr/>
        <w:t xml:space="preserve">(b) The hearing shall include the public identification of any payers or health care providers for which health care cost growth in the previous calendar year exceeded the health care cost growth benchmark.</w:t>
      </w:r>
    </w:p>
    <w:p>
      <w:pPr>
        <w:spacing w:before="0" w:after="0" w:line="408" w:lineRule="exact"/>
        <w:ind w:left="0" w:right="0" w:firstLine="576"/>
        <w:jc w:val="left"/>
      </w:pPr>
      <w:r>
        <w:rPr/>
        <w:t xml:space="preserve">(c) At the hearing, the board:</w:t>
      </w:r>
    </w:p>
    <w:p>
      <w:pPr>
        <w:spacing w:before="0" w:after="0" w:line="408" w:lineRule="exact"/>
        <w:ind w:left="0" w:right="0" w:firstLine="576"/>
        <w:jc w:val="left"/>
      </w:pPr>
      <w:r>
        <w:rPr/>
        <w:t xml:space="preserve">(i)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(ii)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(iii) Shall provide an opportunity for public comment.</w:t>
      </w:r>
    </w:p>
    <w:p>
      <w:pPr>
        <w:spacing w:before="0" w:after="0" w:line="408" w:lineRule="exact"/>
        <w:ind w:left="0" w:right="0" w:firstLine="576"/>
        <w:jc w:val="left"/>
      </w:pPr>
      <w:r>
        <w:rPr/>
        <w:t xml:space="preserve">(2)(a) Except as provided in subsection (7) of this section, beginning July 1, 2024, the board may require that any payer or health care provider submit a performance improvement plan to the board if it has substantially exceeded the health care cost growth benchmark without reasonable justification or meaningful improvement for two of the previous three calendar years. The board must consider the factors identified in subsection (3)(b) of this section in determining whether a performance improvement plan is warranted. The performance improvement plan shall: Identify key cost drivers and include distinct steps that the payer or health care provider shall take to address costs exceeding the health care cost growth benchmark; identify an appropriate time frame by which a payer or health care provider will reduce costs to levels below the health care cost growth benchmark, subject to evaluation by the board; and have clear measurements of success, including progress reports.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submission, content, and enforcement of performance improvement plans. The rules shall include a process to notify the payer or health care provider in advance of public notice that a performance improvement plan must be submitted and the areas of health care costs that are the source of the growth. The rules shall provide a reasonable opportunity to correct any practices causing excessive health care cost growth. The rules shall address appeals procedures to allow payers and health care providers to seek review of a decision by the board to impose a performance improvement plan upon the payer or health care provider.</w:t>
      </w:r>
    </w:p>
    <w:p>
      <w:pPr>
        <w:spacing w:before="0" w:after="0" w:line="408" w:lineRule="exact"/>
        <w:ind w:left="0" w:right="0" w:firstLine="576"/>
        <w:jc w:val="left"/>
      </w:pPr>
      <w:r>
        <w:rPr/>
        <w:t xml:space="preserve">(3)(a) Except as provided in subsection (7) of this section, beginning July 1, 2025, the board may impose a civil fine on a payer or health care provider that either: (i) Substantially exceeded the health care cost growth benchmark without reasonable justification or meaningful improvement for three of the previous five calendar years; or (ii) fails to participate in a performance improvement plan.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criteria for imposing a civil fine on a payer or health care provider, notifying the payer or health care provider in advance of public notice, providing a reasonable opportunity to correct any practices causing excessive health care cost growth, and establishing a civil fine schedule. The rules shall address appeals procedures to allow payers and health care providers to seek review of a decision by the board to impose a civil fine upon the payer or health care provider. In establishing the civil fine schedule, the authority shall account for:</w:t>
      </w:r>
    </w:p>
    <w:p>
      <w:pPr>
        <w:spacing w:before="0" w:after="0" w:line="408" w:lineRule="exact"/>
        <w:ind w:left="0" w:right="0" w:firstLine="576"/>
        <w:jc w:val="left"/>
      </w:pPr>
      <w:r>
        <w:rPr/>
        <w:t xml:space="preserve">(i) The amount and duration by which the payer or health care provider exceeded the health care cost growth benchmark, with initial civil fine amounts commensurate with the failure to meet the health care cost growth benchmark and escalating civil fine amounts beyond this initial civil fine amount for repeated or continuing failure to meet the benchmark;</w:t>
      </w:r>
    </w:p>
    <w:p>
      <w:pPr>
        <w:spacing w:before="0" w:after="0" w:line="408" w:lineRule="exact"/>
        <w:ind w:left="0" w:right="0" w:firstLine="576"/>
        <w:jc w:val="left"/>
      </w:pPr>
      <w:r>
        <w:rPr/>
        <w:t xml:space="preserve">(ii) The relative size and financial condition of the payer or health care provider, including revenues, reserves, profits, and assets of the entity, as well as any affiliates, subsidiaries, or other entities that control, govern, or are financially responsible for the entity or are subject to the control, governance, or financial control of the entity;</w:t>
      </w:r>
    </w:p>
    <w:p>
      <w:pPr>
        <w:spacing w:before="0" w:after="0" w:line="408" w:lineRule="exact"/>
        <w:ind w:left="0" w:right="0" w:firstLine="576"/>
        <w:jc w:val="left"/>
      </w:pPr>
      <w:r>
        <w:rPr/>
        <w:t xml:space="preserve">(iii) Quality performance data from reputable third-party sources regarding the payer or health care provider;</w:t>
      </w:r>
    </w:p>
    <w:p>
      <w:pPr>
        <w:spacing w:before="0" w:after="0" w:line="408" w:lineRule="exact"/>
        <w:ind w:left="0" w:right="0" w:firstLine="576"/>
        <w:jc w:val="left"/>
      </w:pPr>
      <w:r>
        <w:rPr/>
        <w:t xml:space="preserve">(iv) The good faith efforts of the payer or health care provider to address health care costs and cooperate with the board; and</w:t>
      </w:r>
    </w:p>
    <w:p>
      <w:pPr>
        <w:spacing w:before="0" w:after="0" w:line="408" w:lineRule="exact"/>
        <w:ind w:left="0" w:right="0" w:firstLine="576"/>
        <w:jc w:val="left"/>
      </w:pPr>
      <w:r>
        <w:rPr/>
        <w:t xml:space="preserve">(v) The relative starting price position of the payer or health care provider prior to the health care cost growth benchmark, including but not limited to consideration of the primary care expenditure goal set forth in RCW 70.390.080.</w:t>
      </w:r>
    </w:p>
    <w:p>
      <w:pPr>
        <w:spacing w:before="0" w:after="0" w:line="408" w:lineRule="exact"/>
        <w:ind w:left="0" w:right="0" w:firstLine="576"/>
        <w:jc w:val="left"/>
      </w:pPr>
      <w:r>
        <w:rPr/>
        <w:t xml:space="preserve">(4) Except as provided in subsection (7) of this section, the authority may levy a reasonable fee on any payer or health care provider that is subject to a performance improvement plan or civil fine pursuant to this section to account for the authority's costs in developing and monitoring the plan or levying the civil fine. Any fees levied under this subsection must be used by the authority to offset administrative costs related to this chapter.</w:t>
      </w:r>
    </w:p>
    <w:p>
      <w:pPr>
        <w:spacing w:before="0" w:after="0" w:line="408" w:lineRule="exact"/>
        <w:ind w:left="0" w:right="0" w:firstLine="576"/>
        <w:jc w:val="left"/>
      </w:pPr>
      <w:r>
        <w:rPr/>
        <w:t xml:space="preserve">(5) The authority may waive the imposition of a performance improvement plan or civil fine in the event of unforeseen market conditions or if doing so would promote consumer health care access and affordability.</w:t>
      </w:r>
    </w:p>
    <w:p>
      <w:pPr>
        <w:spacing w:before="0" w:after="0" w:line="408" w:lineRule="exact"/>
        <w:ind w:left="0" w:right="0" w:firstLine="576"/>
        <w:jc w:val="left"/>
      </w:pPr>
      <w:r>
        <w:rPr/>
        <w:t xml:space="preserve">(6) Any fines levied under subsection (4) of this section or civil fines imposed under subsection (3) of this section must be deposited in the state health care affordability account established under RCW 43.71.130.</w:t>
      </w:r>
    </w:p>
    <w:p>
      <w:pPr>
        <w:spacing w:before="0" w:after="0" w:line="408" w:lineRule="exact"/>
        <w:ind w:left="0" w:right="0" w:firstLine="576"/>
        <w:jc w:val="left"/>
      </w:pPr>
      <w:r>
        <w:rPr/>
        <w:t xml:space="preserve">(7) The board may not impose performance improvement plans, fines, or fees under this section on health care providers composed of 25 or fewer health care professionals licensed by a disciplining authority under RCW 18.130.040. The authority shall develop rules to implement this subsection, including a data process to verify provider 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Information collected pursuant to this chapter may be shared with the health care cost transparency board established under chapter 70.390 RCW, subject to the same disclosure restrictions applicable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The authority may adopt rules independently or on behalf of the board,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b2a22473ec74f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ad4aabc3945b2" /><Relationship Type="http://schemas.openxmlformats.org/officeDocument/2006/relationships/footer" Target="/word/footer1.xml" Id="R5b2a22473ec74fcb" /></Relationships>
</file>