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84ca20045346ab" /></Relationships>
</file>

<file path=word/document.xml><?xml version="1.0" encoding="utf-8"?>
<w:document xmlns:w="http://schemas.openxmlformats.org/wordprocessingml/2006/main">
  <w:body>
    <w:p>
      <w:r>
        <w:t>H-0048.2</w:t>
      </w:r>
    </w:p>
    <w:p>
      <w:pPr>
        <w:jc w:val="center"/>
      </w:pPr>
      <w:r>
        <w:t>_______________________________________________</w:t>
      </w:r>
    </w:p>
    <w:p/>
    <w:p>
      <w:pPr>
        <w:jc w:val="center"/>
      </w:pPr>
      <w:r>
        <w:rPr>
          <w:b/>
        </w:rPr>
        <w:t>HOUSE BILL 1520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Mosbrucker, Graham, Caldier, Jacobsen, Schmidt, Eslick, and Volz</w:t>
      </w:r>
    </w:p>
    <w:p/>
    <w:p>
      <w:r>
        <w:rPr>
          <w:t xml:space="preserve">Read first time 01/23/23.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amending RCW 69.50.4013 and 9.94A.518; reenacting and amending RCW 13.40.0357; creating new sections;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According to a recent study of provisional data collected by the United States centers for disease control and prevention, overdose from fentanyl is now the leading cause of death of Americans between the ages of 18 and 45. Washington is not immune from the opioid epidemic. Fentanyl has had a staggering effect on its communities, and fentanyl-related overdoses are increasing across the state. Under current law, possession of fentanyl is classified as a simple misdemeanor, which is the lowest criminal penalty available, and on July 1st of this year, the current law provision will expire and Washington will return to its former law, which has been deemed unconstitutional. This is an insufficient criminal justice system response to this extremely dangerous drug. The legislature intends to fix the constitutional defect in the law going forward and restore the felony penalties that were previously in place for possession of fentanyl in order to reflect the extreme hazards associated with this highly potent substance. Additionally, the legislature intends to launch a public outreach campaign to enhance public education on this issue and connect affected individuals with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w:t>
      </w:r>
      <w:r>
        <w:rPr>
          <w:u w:val="single"/>
        </w:rPr>
        <w:t xml:space="preserve">(a)</w:t>
      </w:r>
      <w:r>
        <w:rPr/>
        <w:t xml:space="preserve"> Except as provided in RCW 69.50.4014 </w:t>
      </w:r>
      <w:r>
        <w:rPr>
          <w:u w:val="single"/>
        </w:rPr>
        <w:t xml:space="preserve">and (b) of this subsection</w:t>
      </w:r>
      <w:r>
        <w:rPr/>
        <w:t xml:space="preserve">, any person who violates this section is guilty of a class C felony punishable under chapter 9A.20 RCW. </w:t>
      </w:r>
    </w:p>
    <w:p>
      <w:pPr>
        <w:spacing w:before="0" w:after="0" w:line="408" w:lineRule="exact"/>
        <w:ind w:left="0" w:right="0" w:firstLine="576"/>
        <w:jc w:val="left"/>
      </w:pPr>
      <w:r>
        <w:rPr>
          <w:u w:val="single"/>
        </w:rPr>
        <w:t xml:space="preserve">(b) Any person who violates this section by knowingly possessing fentanyl is guilty of a class C felony punishable according to chapter 9A.20 RCW.</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21</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Thirty-six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possess, manufacture, sell, or distribute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2022 c 16 s 5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w:t>
            </w:r>
            <w:r>
              <w:t>((</w:t>
            </w:r>
            <w:r>
              <w:rPr>
                <w:rFonts w:ascii="Times New Roman" w:hAnsi="Times New Roman"/>
                <w:strike/>
                <w:sz w:val="20"/>
              </w:rPr>
              <w:t xml:space="preserve">eighteen</w:t>
            </w:r>
            <w:r>
              <w:t>))</w:t>
            </w:r>
            <w:r>
              <w:rPr>
                <w:rFonts w:ascii="Times New Roman" w:hAnsi="Times New Roman"/>
                <w:sz w:val="20"/>
              </w:rPr>
              <w:t xml:space="preserve"> </w:t>
            </w:r>
            <w:r>
              <w:rPr>
                <w:rFonts w:ascii="Times New Roman" w:hAnsi="Times New Roman"/>
                <w:sz w:val="20"/>
                <w:u w:val="single"/>
              </w:rPr>
              <w:t xml:space="preserve">18</w:t>
            </w:r>
            <w:r>
              <w:rPr>
                <w:rFonts w:ascii="Times New Roman" w:hAnsi="Times New Roman"/>
                <w:sz w:val="20"/>
              </w:rPr>
              <w:t xml:space="preserve"> or over to person under </w:t>
            </w:r>
            <w:r>
              <w:t>((</w:t>
            </w:r>
            <w:r>
              <w:rPr>
                <w:rFonts w:ascii="Times New Roman" w:hAnsi="Times New Roman"/>
                <w:strike/>
                <w:sz w:val="20"/>
              </w:rPr>
              <w:t xml:space="preserve">eighteen</w:t>
            </w:r>
            <w:r>
              <w:t>))</w:t>
            </w:r>
            <w:r>
              <w:rPr>
                <w:rFonts w:ascii="Times New Roman" w:hAnsi="Times New Roman"/>
                <w:sz w:val="20"/>
              </w:rPr>
              <w:t xml:space="preserve"> </w:t>
            </w:r>
            <w:r>
              <w:rPr>
                <w:rFonts w:ascii="Times New Roman" w:hAnsi="Times New Roman"/>
                <w:sz w:val="20"/>
                <w:u w:val="single"/>
              </w:rPr>
              <w:t xml:space="preserve">18</w:t>
            </w:r>
            <w:r>
              <w:rPr>
                <w:rFonts w:ascii="Times New Roman" w:hAnsi="Times New Roman"/>
                <w:sz w:val="20"/>
              </w:rPr>
              <w:t xml:space="preserve">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w:t>
            </w:r>
            <w:r>
              <w:t>((</w:t>
            </w:r>
            <w:r>
              <w:rPr>
                <w:rFonts w:ascii="Times New Roman" w:hAnsi="Times New Roman"/>
                <w:strike/>
                <w:sz w:val="20"/>
              </w:rPr>
              <w:t xml:space="preserve">3</w:t>
            </w:r>
            <w:r>
              <w:t>))</w:t>
            </w:r>
            <w:r>
              <w:rPr>
                <w:rFonts w:ascii="Times New Roman" w:hAnsi="Times New Roman"/>
                <w:sz w:val="20"/>
              </w:rPr>
              <w:t xml:space="preserve"> </w:t>
            </w:r>
            <w:r>
              <w:rPr>
                <w:rFonts w:ascii="Times New Roman" w:hAnsi="Times New Roman"/>
                <w:sz w:val="20"/>
                <w:u w:val="single"/>
              </w:rPr>
              <w:t xml:space="preserve">three</w:t>
            </w:r>
            <w:r>
              <w:rPr>
                <w:rFonts w:ascii="Times New Roman" w:hAnsi="Times New Roman"/>
                <w:sz w:val="20"/>
              </w:rPr>
              <w:t xml:space="preserve">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cannabis as defined in RCW 69.50.101,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cannabis as defined in RCW 69.50.101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Possession of Fentanyl (RCW 69.50.4013(2)(b))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2022 c 268 s 37 and 2022 c 16 s 9 are each reenacted and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Cannabis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Possession of Fentanyl (69.50.4013(2)(b))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(9.41.040(2)(a)(vii))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develop and execute a public outreach campaign to educate the public about the dangers of consuming fentanyl and to provide information about available resources. The campaign must focus on both prevention and response, and must include multiple outreach strategies, such as brochures, public service announcements, social media postings, and other education and training efforts as the department of health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6a26a8f9cd1c44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c0d23a6370458a" /><Relationship Type="http://schemas.openxmlformats.org/officeDocument/2006/relationships/footer" Target="/word/footer1.xml" Id="R6a26a8f9cd1c4433" /></Relationships>
</file>