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448187e5c41fe" /></Relationships>
</file>

<file path=word/document.xml><?xml version="1.0" encoding="utf-8"?>
<w:document xmlns:w="http://schemas.openxmlformats.org/wordprocessingml/2006/main">
  <w:body>
    <w:p>
      <w:r>
        <w:t>H-1542.1</w:t>
      </w:r>
    </w:p>
    <w:p>
      <w:pPr>
        <w:jc w:val="center"/>
      </w:pPr>
      <w:r>
        <w:t>_______________________________________________</w:t>
      </w:r>
    </w:p>
    <w:p/>
    <w:p>
      <w:pPr>
        <w:jc w:val="center"/>
      </w:pPr>
      <w:r>
        <w:rPr>
          <w:b/>
        </w:rPr>
        <w:t>SECOND SUBSTITUTE HOUSE BILL 1525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Fosse, Lekanoff, Farivar, Shavers, Thai, Taylor, Hansen, Alvarado, Senn, Hackney, Wylie, Duerr, Leavitt, Berg, Stearns, Peterson, Macri, Berry, Cortes, Low, Schmidt, Stonier, Kloba, Robertson, Gregerson, Riccelli, Doglio, Waters, Cheney, Orwall, Connors, Ybarra, Bronoske, Dent, Morgan, Ramel, Donaghy, Goodman, Ryu, Fey, Reed, Davis, Timmons, Street, Simmons, Fitzgibbon, Christian, Santos, Rule, Abbarno, Sandlin, Chopp, Bateman, Rude, Eslick, Ormsby, Reeves, Barkis, Graham, Pollet, Ortiz-Self, Callan,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working connections child care benefits for persons participating in state registered apprenticeships; amending RCW 43.216.136;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w:t>
      </w:r>
      <w:r>
        <w:rPr>
          <w:u w:val="single"/>
        </w:rPr>
        <w:t xml:space="preserve">state</w:t>
      </w:r>
      <w:r>
        <w:rPr/>
        <w:t xml:space="preserve"> registered apprenticeship program.</w:t>
      </w:r>
    </w:p>
    <w:p>
      <w:pPr>
        <w:spacing w:before="0" w:after="0" w:line="408" w:lineRule="exact"/>
        <w:ind w:left="0" w:right="0" w:firstLine="576"/>
        <w:jc w:val="left"/>
      </w:pPr>
      <w:r>
        <w:rPr/>
        <w:t xml:space="preserve">(b) An applicant or consumer is a full-time student for the purposes of this subsection if </w:t>
      </w:r>
      <w:r>
        <w:t>((</w:t>
      </w:r>
      <w:r>
        <w:rPr>
          <w:strike/>
        </w:rPr>
        <w:t xml:space="preserve">he or she</w:t>
      </w:r>
      <w:r>
        <w:t>))</w:t>
      </w:r>
      <w:r>
        <w:rPr/>
        <w:t xml:space="preserve"> </w:t>
      </w:r>
      <w:r>
        <w:rPr>
          <w:u w:val="single"/>
        </w:rPr>
        <w:t xml:space="preserve">the applicant or consumer</w:t>
      </w:r>
      <w:r>
        <w:rPr/>
        <w:t xml:space="preserv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w:t>
      </w:r>
      <w:r>
        <w:rPr>
          <w:u w:val="single"/>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regardless of whether or not the applicant or consumer otherwise meets eligibility requirements, when the applicant or consumer has a household income that:</w:t>
      </w:r>
    </w:p>
    <w:p>
      <w:pPr>
        <w:spacing w:before="0" w:after="0" w:line="408" w:lineRule="exact"/>
        <w:ind w:left="0" w:right="0" w:firstLine="576"/>
        <w:jc w:val="left"/>
      </w:pPr>
      <w:r>
        <w:rPr>
          <w:u w:val="single"/>
        </w:rPr>
        <w:t xml:space="preserve">(i) Beginning July 1, 2023, does not exceed 75 percent of the state median income at the time of application; and</w:t>
      </w:r>
    </w:p>
    <w:p>
      <w:pPr>
        <w:spacing w:before="0" w:after="0" w:line="408" w:lineRule="exact"/>
        <w:ind w:left="0" w:right="0" w:firstLine="576"/>
        <w:jc w:val="left"/>
      </w:pPr>
      <w:r>
        <w:rPr>
          <w:u w:val="single"/>
        </w:rPr>
        <w:t xml:space="preserve">(ii) Beginning July 1, 2025, does not exceed 85 percent of the state median income at the time of application.</w:t>
      </w:r>
    </w:p>
    <w:p>
      <w:pPr>
        <w:spacing w:before="0" w:after="0" w:line="408" w:lineRule="exact"/>
        <w:ind w:left="0" w:right="0" w:firstLine="576"/>
        <w:jc w:val="left"/>
      </w:pPr>
      <w:r>
        <w:rPr>
          <w:u w:val="single"/>
        </w:rPr>
        <w:t xml:space="preserve">(b) The department must adopt a copayment model for benefits granted under this subsection to consumers with household incomes above 60 percent and at or below 85 percent of the state median income at the time of application, which must align with any copayment identified or adopted under RCW 43.216.1368.</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37c631b2fe34a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49c284a9ff4dd1" /><Relationship Type="http://schemas.openxmlformats.org/officeDocument/2006/relationships/footer" Target="/word/footer1.xml" Id="Re37c631b2fe34a79" /></Relationships>
</file>