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18ed10f4848d3" /></Relationships>
</file>

<file path=word/document.xml><?xml version="1.0" encoding="utf-8"?>
<w:document xmlns:w="http://schemas.openxmlformats.org/wordprocessingml/2006/main">
  <w:body>
    <w:p>
      <w:r>
        <w:t>H-0670.1</w:t>
      </w:r>
    </w:p>
    <w:p>
      <w:pPr>
        <w:jc w:val="center"/>
      </w:pPr>
      <w:r>
        <w:t>_______________________________________________</w:t>
      </w:r>
    </w:p>
    <w:p/>
    <w:p>
      <w:pPr>
        <w:jc w:val="center"/>
      </w:pPr>
      <w:r>
        <w:rPr>
          <w:b/>
        </w:rPr>
        <w:t>HOUSE BILL 1534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Berry, and Fosse</w:t>
      </w:r>
    </w:p>
    <w:p/>
    <w:p>
      <w:r>
        <w:rPr>
          <w:t xml:space="preserve">Read first time 01/24/23.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protections for consumers in the construction industry; amending RCW 18.27.010, 18.27.030, 18.27.040, 18.27.340, 18.27.400, and 51.44.190; reenacting and amending RCW 43.79A.040; adding new sections to chapter 18.27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2015 c 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t xml:space="preserve">(b) "Contractor" also includes a consultant acting as a general contractor.</w:t>
      </w:r>
    </w:p>
    <w:p>
      <w:pPr>
        <w:spacing w:before="0" w:after="0" w:line="408" w:lineRule="exact"/>
        <w:ind w:left="0" w:right="0" w:firstLine="576"/>
        <w:jc w:val="left"/>
      </w:pPr>
      <w:r>
        <w:rPr/>
        <w:t xml:space="preserve">(c) "Contractor" also includes any person, firm, corporation, or other entity covered by this subsection (1),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w:t>
      </w:r>
      <w:r>
        <w:rPr>
          <w:u w:val="single"/>
        </w:rPr>
        <w:t xml:space="preserve">"Successor" means a contractor who acquires through sale, lease, gift, or any process, all or part of the operating assets of another business entity, where the contractor is under substantially common ownership, management, or control of the other business entity.</w:t>
      </w:r>
    </w:p>
    <w:p>
      <w:pPr>
        <w:spacing w:before="0" w:after="0" w:line="408" w:lineRule="exact"/>
        <w:ind w:left="0" w:right="0" w:firstLine="576"/>
        <w:jc w:val="left"/>
      </w:pPr>
      <w:r>
        <w:rPr>
          <w:u w:val="single"/>
        </w:rPr>
        <w:t xml:space="preserve">(15)</w:t>
      </w:r>
      <w:r>
        <w:rPr/>
        <w:t xml:space="preserve">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w:t>
      </w:r>
      <w:r>
        <w:t>((</w:t>
      </w:r>
      <w:r>
        <w:rPr>
          <w:strike/>
        </w:rPr>
        <w:t xml:space="preserve">thirty</w:t>
      </w:r>
      <w:r>
        <w:t>))</w:t>
      </w:r>
      <w:r>
        <w:rPr/>
        <w:t xml:space="preserve"> </w:t>
      </w:r>
      <w:r>
        <w:rPr>
          <w:u w:val="single"/>
        </w:rPr>
        <w:t xml:space="preserve">30</w:t>
      </w:r>
      <w:r>
        <w:rPr/>
        <w:t xml:space="preserve"> or fewer days.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"Verification" means the receipt and duplication by the city, town, or county of a contractor registration card that is current on its face, checking the department's contractor registration database, or calling the department to confirm that the contractor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030</w:t>
      </w:r>
      <w:r>
        <w:rPr/>
        <w:t xml:space="preserve"> and 2008 c 120 s 1 are each amended to read as follows:</w:t>
      </w:r>
    </w:p>
    <w:p>
      <w:pPr>
        <w:spacing w:before="0" w:after="0" w:line="408" w:lineRule="exact"/>
        <w:ind w:left="0" w:right="0" w:firstLine="576"/>
        <w:jc w:val="left"/>
      </w:pPr>
      <w:r>
        <w:rPr/>
        <w:t xml:space="preserve">(1) An applicant for registration as a contractor shall submit an application under oath upon a form to be prescribed by the director and which shall include the following information pertaining to the applicant:</w:t>
      </w:r>
    </w:p>
    <w:p>
      <w:pPr>
        <w:spacing w:before="0" w:after="0" w:line="408" w:lineRule="exact"/>
        <w:ind w:left="0" w:right="0" w:firstLine="576"/>
        <w:jc w:val="left"/>
      </w:pPr>
      <w:r>
        <w:rPr/>
        <w:t xml:space="preserve">(a) Employer social security number.</w:t>
      </w:r>
    </w:p>
    <w:p>
      <w:pPr>
        <w:spacing w:before="0" w:after="0" w:line="408" w:lineRule="exact"/>
        <w:ind w:left="0" w:right="0" w:firstLine="576"/>
        <w:jc w:val="left"/>
      </w:pPr>
      <w:r>
        <w:rPr/>
        <w:t xml:space="preserve">(b) Unified business identifier number.</w:t>
      </w:r>
    </w:p>
    <w:p>
      <w:pPr>
        <w:spacing w:before="0" w:after="0" w:line="408" w:lineRule="exact"/>
        <w:ind w:left="0" w:right="0" w:firstLine="576"/>
        <w:jc w:val="left"/>
      </w:pPr>
      <w:r>
        <w:rPr/>
        <w:t xml:space="preserve">(c)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(d) Employment security department number.</w:t>
      </w:r>
    </w:p>
    <w:p>
      <w:pPr>
        <w:spacing w:before="0" w:after="0" w:line="408" w:lineRule="exact"/>
        <w:ind w:left="0" w:right="0" w:firstLine="576"/>
        <w:jc w:val="left"/>
      </w:pPr>
      <w:r>
        <w:rPr/>
        <w:t xml:space="preserve">(e) Unified business identifier (UBI) account number may be substituted for the information required by (c) and (d) of this subsection if the applicant will not employ employees in Washington.</w:t>
      </w:r>
    </w:p>
    <w:p>
      <w:pPr>
        <w:spacing w:before="0" w:after="0" w:line="408" w:lineRule="exact"/>
        <w:ind w:left="0" w:right="0" w:firstLine="576"/>
        <w:jc w:val="left"/>
      </w:pPr>
      <w:r>
        <w:rPr/>
        <w:t xml:space="preserve">(f) Type of contracting activity, whether a general or a specialty contractor and if the latter, the type of specialty.</w:t>
      </w:r>
    </w:p>
    <w:p>
      <w:pPr>
        <w:spacing w:before="0" w:after="0" w:line="408" w:lineRule="exact"/>
        <w:ind w:left="0" w:right="0" w:firstLine="576"/>
        <w:jc w:val="left"/>
      </w:pPr>
      <w:r>
        <w:rPr/>
        <w:t xml:space="preserve">(g) The name and address of each partner if the applicant is a firm or partnership, or the name and address of the owner if the applicant is an individual proprietorship, or the name and address of the corporate officers and statutory agent, if any, if the applicant is a corporation or the name and address of all members of other business entities. The information contained in such application is a matter of public record and open to public inspection.</w:t>
      </w:r>
    </w:p>
    <w:p>
      <w:pPr>
        <w:spacing w:before="0" w:after="0" w:line="408" w:lineRule="exact"/>
        <w:ind w:left="0" w:right="0" w:firstLine="576"/>
        <w:jc w:val="left"/>
      </w:pPr>
      <w:r>
        <w:rPr/>
        <w:t xml:space="preserve">(2)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w:t>
      </w:r>
      <w:r>
        <w:rPr>
          <w:u w:val="single"/>
        </w:rPr>
        <w:t xml:space="preserve">the applicant is a successor to a business entity with an unsatisfied final judgment against it in an action that was incurred for work performed subject to this chapter or owes the department money for penalties assessed or fees due under this chapter as a result of a final judgment; (iv)</w:t>
      </w:r>
      <w:r>
        <w:rPr/>
        <w:t xml:space="preserve"> the applicant does not have a valid unified business identifier number; </w:t>
      </w:r>
      <w:r>
        <w:t>((</w:t>
      </w:r>
      <w:r>
        <w:rPr>
          <w:strike/>
        </w:rPr>
        <w:t xml:space="preserve">(iv)</w:t>
      </w:r>
      <w:r>
        <w:t>))</w:t>
      </w:r>
      <w:r>
        <w:rPr/>
        <w:t xml:space="preserve"> </w:t>
      </w:r>
      <w:r>
        <w:rPr>
          <w:u w:val="single"/>
        </w:rPr>
        <w:t xml:space="preserve">(v)</w:t>
      </w:r>
      <w:r>
        <w:rPr/>
        <w:t xml:space="preserve"> the department determines that the applicant has falsified information on the application, unless the error was inadvertent; </w:t>
      </w:r>
      <w:r>
        <w:t>((</w:t>
      </w:r>
      <w:r>
        <w:rPr>
          <w:strike/>
        </w:rPr>
        <w:t xml:space="preserve">or (v)</w:t>
      </w:r>
      <w:r>
        <w:t>))</w:t>
      </w:r>
      <w:r>
        <w:rPr/>
        <w:t xml:space="preserve"> </w:t>
      </w:r>
      <w:r>
        <w:rPr>
          <w:u w:val="single"/>
        </w:rPr>
        <w:t xml:space="preserve">(vi)</w:t>
      </w:r>
      <w:r>
        <w:rPr/>
        <w:t xml:space="preserve"> the applicant does not have an active and valid certificate of registration with the department of revenue</w:t>
      </w:r>
      <w:r>
        <w:rPr>
          <w:u w:val="single"/>
        </w:rPr>
        <w:t xml:space="preserve">; or (vii) the applicant is under 18 years old at the time of application</w:t>
      </w:r>
      <w:r>
        <w:rPr/>
        <w:t xml:space="preserve">.</w:t>
      </w:r>
    </w:p>
    <w:p>
      <w:pPr>
        <w:spacing w:before="0" w:after="0" w:line="408" w:lineRule="exact"/>
        <w:ind w:left="0" w:right="0" w:firstLine="576"/>
        <w:jc w:val="left"/>
      </w:pPr>
      <w:r>
        <w:rPr/>
        <w:t xml:space="preserve">(b) The department shall suspend an active registration if (i) 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or (v) the registrant does not have an active and valid certificate of registration with the department of revenue.</w:t>
      </w:r>
    </w:p>
    <w:p>
      <w:pPr>
        <w:spacing w:before="0" w:after="0" w:line="408" w:lineRule="exact"/>
        <w:ind w:left="0" w:right="0" w:firstLine="576"/>
        <w:jc w:val="left"/>
      </w:pPr>
      <w:r>
        <w:rPr/>
        <w:t xml:space="preserve">(c)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pPr>
        <w:spacing w:before="0" w:after="0" w:line="408" w:lineRule="exact"/>
        <w:ind w:left="0" w:right="0" w:firstLine="576"/>
        <w:jc w:val="left"/>
      </w:pPr>
      <w:r>
        <w:rPr/>
        <w:t xml:space="preserve">(4) The department shall not deny an application or suspend a registration because of an unsatisfied final judgment if the applicant's or registrant's unsatisfied final judgment was determined by the director to be the result of the fraud or negligence of another party </w:t>
      </w:r>
      <w:r>
        <w:rPr>
          <w:u w:val="single"/>
        </w:rPr>
        <w:t xml:space="preserve">unless the applicant or registrant is a successor to said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2019 c 155 s 1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w:t>
      </w:r>
      <w:r>
        <w:t>((</w:t>
      </w:r>
      <w:r>
        <w:rPr>
          <w:strike/>
        </w:rPr>
        <w:t xml:space="preserve">twelve thousand dollars</w:t>
      </w:r>
      <w:r>
        <w:t>))</w:t>
      </w:r>
      <w:r>
        <w:rPr/>
        <w:t xml:space="preserve"> </w:t>
      </w:r>
      <w:r>
        <w:rPr>
          <w:u w:val="single"/>
        </w:rPr>
        <w:t xml:space="preserve">$30,000</w:t>
      </w:r>
      <w:r>
        <w:rPr/>
        <w:t xml:space="preserve"> if the applicant is a general contractor </w:t>
      </w:r>
      <w:r>
        <w:t>((</w:t>
      </w:r>
      <w:r>
        <w:rPr>
          <w:strike/>
        </w:rPr>
        <w:t xml:space="preserve">and six thousand dollars</w:t>
      </w:r>
      <w:r>
        <w:t>))</w:t>
      </w:r>
      <w:r>
        <w:rPr/>
        <w:t xml:space="preserve"> </w:t>
      </w:r>
      <w:r>
        <w:rPr>
          <w:u w:val="single"/>
        </w:rPr>
        <w:t xml:space="preserve">or $15,000</w:t>
      </w:r>
      <w:r>
        <w:rPr/>
        <w:t xml:space="preserve">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w:t>
      </w:r>
      <w:r>
        <w:t>((</w:t>
      </w:r>
      <w:r>
        <w:rPr>
          <w:strike/>
        </w:rPr>
        <w:t xml:space="preserve">July 1, 2001</w:t>
      </w:r>
      <w:r>
        <w:t>))</w:t>
      </w:r>
      <w:r>
        <w:rPr/>
        <w:t xml:space="preserve"> </w:t>
      </w:r>
      <w:r>
        <w:rPr>
          <w:u w:val="single"/>
        </w:rPr>
        <w:t xml:space="preserve">June 30, 2024</w:t>
      </w:r>
      <w:r>
        <w:rPr/>
        <w:t xml:space="preserve">,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w:t>
      </w:r>
      <w:r>
        <w:t>((</w:t>
      </w:r>
      <w:r>
        <w:rPr>
          <w:strike/>
        </w:rPr>
        <w:t xml:space="preserve">fifty dollars</w:t>
      </w:r>
      <w:r>
        <w:t>))</w:t>
      </w:r>
      <w:r>
        <w:rPr/>
        <w:t xml:space="preserve"> </w:t>
      </w:r>
      <w:r>
        <w:rPr>
          <w:u w:val="single"/>
        </w:rPr>
        <w:t xml:space="preserve">$50</w:t>
      </w:r>
      <w:r>
        <w:rPr/>
        <w:t xml:space="preserve">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general contractor by this section to claimants other than residential homeowners must not exceed one-half of the bond amount. The total amount paid from a bond or deposit required of a specialty contractor by this section to claimants other than residential homeowners must not exceed one-half of the bond amount or </w:t>
      </w:r>
      <w:r>
        <w:t>((</w:t>
      </w:r>
      <w:r>
        <w:rPr>
          <w:strike/>
        </w:rPr>
        <w:t xml:space="preserve">four thousand dollars</w:t>
      </w:r>
      <w:r>
        <w:t>))</w:t>
      </w:r>
      <w:r>
        <w:rPr/>
        <w:t xml:space="preserve"> </w:t>
      </w:r>
      <w:r>
        <w:rPr>
          <w:u w:val="single"/>
        </w:rPr>
        <w:t xml:space="preserve">$4,000</w:t>
      </w:r>
      <w:r>
        <w:rPr/>
        <w:t xml:space="preserve">, whichever is greater.</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w:t>
      </w:r>
      <w:r>
        <w:t>((</w:t>
      </w:r>
      <w:r>
        <w:rPr>
          <w:strike/>
        </w:rPr>
        <w:t xml:space="preserve">ten</w:t>
      </w:r>
      <w:r>
        <w:t>))</w:t>
      </w:r>
      <w:r>
        <w:rPr/>
        <w:t xml:space="preserve"> </w:t>
      </w:r>
      <w:r>
        <w:rPr>
          <w:u w:val="single"/>
        </w:rPr>
        <w:t xml:space="preserve">10</w:t>
      </w:r>
      <w:r>
        <w:rPr/>
        <w:t xml:space="preserve">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w:t>
      </w:r>
      <w:r>
        <w:t>((</w:t>
      </w:r>
      <w:r>
        <w:rPr>
          <w:strike/>
        </w:rPr>
        <w:t xml:space="preserve">ten</w:t>
      </w:r>
      <w:r>
        <w:t>))</w:t>
      </w:r>
      <w:r>
        <w:rPr/>
        <w:t xml:space="preserve"> </w:t>
      </w:r>
      <w:r>
        <w:rPr>
          <w:u w:val="single"/>
        </w:rPr>
        <w:t xml:space="preserve">10</w:t>
      </w:r>
      <w:r>
        <w:rPr/>
        <w:t xml:space="preserve"> days of entry of such an order constitutes a violation of this chapter and a penalty adopted by rule of not less than </w:t>
      </w:r>
      <w:r>
        <w:t>((</w:t>
      </w:r>
      <w:r>
        <w:rPr>
          <w:strike/>
        </w:rPr>
        <w:t xml:space="preserve">two hundred fifty dollars</w:t>
      </w:r>
      <w:r>
        <w:t>))</w:t>
      </w:r>
      <w:r>
        <w:rPr/>
        <w:t xml:space="preserve"> </w:t>
      </w:r>
      <w:r>
        <w:rPr>
          <w:u w:val="single"/>
        </w:rPr>
        <w:t xml:space="preserve">$250</w:t>
      </w:r>
      <w:r>
        <w:rPr/>
        <w:t xml:space="preserve">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one final judgment in actions under this chapter involving a residential single-family dwelling.</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t>((</w:t>
      </w:r>
      <w:r>
        <w:rPr>
          <w:strik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strike/>
        </w:rPr>
        <w:t xml:space="preserve">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strike/>
        </w:rPr>
        <w:t xml:space="preserve">(i) Bond amounts are sufficient and appropriate to protect consumers, workers, and suppliers and meet tax obligations;</w:t>
      </w:r>
    </w:p>
    <w:p>
      <w:pPr>
        <w:spacing w:before="0" w:after="0" w:line="408" w:lineRule="exact"/>
        <w:ind w:left="0" w:right="0" w:firstLine="576"/>
        <w:jc w:val="left"/>
      </w:pPr>
      <w:r>
        <w:rPr>
          <w:strike/>
        </w:rPr>
        <w:t xml:space="preserve">(ii) Additional criteria for contractors would provide a greater level of protection;</w:t>
      </w:r>
    </w:p>
    <w:p>
      <w:pPr>
        <w:spacing w:before="0" w:after="0" w:line="408" w:lineRule="exact"/>
        <w:ind w:left="0" w:right="0" w:firstLine="576"/>
        <w:jc w:val="left"/>
      </w:pPr>
      <w:r>
        <w:rPr>
          <w:strik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strik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strike/>
        </w:rPr>
        <w:t xml:space="preserve">(v) Incentives to adopt industry best practices would increase consumer protections.</w:t>
      </w:r>
    </w:p>
    <w:p>
      <w:pPr>
        <w:spacing w:before="0" w:after="0" w:line="408" w:lineRule="exact"/>
        <w:ind w:left="0" w:right="0" w:firstLine="576"/>
        <w:jc w:val="left"/>
      </w:pPr>
      <w:r>
        <w:rPr>
          <w:strike/>
        </w:rPr>
        <w:t xml:space="preserve">(b) The work group must dissolve once the report is submitted.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340</w:t>
      </w:r>
      <w:r>
        <w:rPr/>
        <w:t xml:space="preserve"> and 1997 c 314 s 17 are each amended to read as follows:</w:t>
      </w:r>
    </w:p>
    <w:p>
      <w:pPr>
        <w:spacing w:before="0" w:after="0" w:line="408" w:lineRule="exact"/>
        <w:ind w:left="0" w:right="0" w:firstLine="576"/>
        <w:jc w:val="left"/>
      </w:pPr>
      <w:r>
        <w:rPr/>
        <w:t xml:space="preserve">(1) Except as otherwise provided in subsection (3) of this section, a contractor found to have committed an infraction under RCW 18.27.200 shall be assessed a monetary penalty of not less than </w:t>
      </w:r>
      <w:r>
        <w:t>((</w:t>
      </w:r>
      <w:r>
        <w:rPr>
          <w:strike/>
        </w:rPr>
        <w:t xml:space="preserve">two hundred dollars</w:t>
      </w:r>
      <w:r>
        <w:t>))</w:t>
      </w:r>
      <w:r>
        <w:rPr/>
        <w:t xml:space="preserve"> </w:t>
      </w:r>
      <w:r>
        <w:rPr>
          <w:u w:val="single"/>
        </w:rPr>
        <w:t xml:space="preserve">$200</w:t>
      </w:r>
      <w:r>
        <w:rPr/>
        <w:t xml:space="preserve"> and not more than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(2) The director may waive collection in favor of payment of restitution to a consumer complainant.</w:t>
      </w:r>
    </w:p>
    <w:p>
      <w:pPr>
        <w:spacing w:before="0" w:after="0" w:line="408" w:lineRule="exact"/>
        <w:ind w:left="0" w:right="0" w:firstLine="576"/>
        <w:jc w:val="left"/>
      </w:pPr>
      <w:r>
        <w:rPr/>
        <w:t xml:space="preserve">(3) A contractor found to have committed an infraction under RCW 18.27.200 for failure to register shall be assessed a fine of not less than </w:t>
      </w:r>
      <w:r>
        <w:t>((</w:t>
      </w:r>
      <w:r>
        <w:rPr>
          <w:strike/>
        </w:rPr>
        <w:t xml:space="preserve">one thousand dollars</w:t>
      </w:r>
      <w:r>
        <w:t>))</w:t>
      </w:r>
      <w:r>
        <w:rPr/>
        <w:t xml:space="preserve"> </w:t>
      </w:r>
      <w:r>
        <w:rPr>
          <w:u w:val="single"/>
        </w:rPr>
        <w:t xml:space="preserve">$1,200</w:t>
      </w:r>
      <w:r>
        <w:rPr/>
        <w:t xml:space="preserve">, nor more than </w:t>
      </w:r>
      <w:r>
        <w:t>((</w:t>
      </w:r>
      <w:r>
        <w:rPr>
          <w:strike/>
        </w:rPr>
        <w:t xml:space="preserve">five thousand dollars</w:t>
      </w:r>
      <w:r>
        <w:t>))</w:t>
      </w:r>
      <w:r>
        <w:rPr/>
        <w:t xml:space="preserve"> </w:t>
      </w:r>
      <w:r>
        <w:rPr>
          <w:u w:val="single"/>
        </w:rPr>
        <w:t xml:space="preserve">$6,000</w:t>
      </w:r>
      <w:r>
        <w:rPr/>
        <w:t xml:space="preserve">. The director may reduce the penalty for failure to register, but in no case below </w:t>
      </w:r>
      <w:r>
        <w:t>((</w:t>
      </w:r>
      <w:r>
        <w:rPr>
          <w:strike/>
        </w:rPr>
        <w:t xml:space="preserve">five hundred dollars</w:t>
      </w:r>
      <w:r>
        <w:t>))</w:t>
      </w:r>
      <w:r>
        <w:rPr/>
        <w:t xml:space="preserve"> </w:t>
      </w:r>
      <w:r>
        <w:rPr>
          <w:u w:val="single"/>
        </w:rPr>
        <w:t xml:space="preserve">$600</w:t>
      </w:r>
      <w:r>
        <w:rPr/>
        <w:t xml:space="preserve">, if the person becomes registered within </w:t>
      </w:r>
      <w:r>
        <w:t>((</w:t>
      </w:r>
      <w:r>
        <w:rPr>
          <w:strike/>
        </w:rPr>
        <w:t xml:space="preserve">ten</w:t>
      </w:r>
      <w:r>
        <w:t>))</w:t>
      </w:r>
      <w:r>
        <w:rPr/>
        <w:t xml:space="preserve"> </w:t>
      </w:r>
      <w:r>
        <w:rPr>
          <w:u w:val="single"/>
        </w:rPr>
        <w:t xml:space="preserve">10</w:t>
      </w:r>
      <w:r>
        <w:rPr/>
        <w:t xml:space="preserve"> days of receiving a notice of infraction and the notice of infraction is for a first offense.</w:t>
      </w:r>
    </w:p>
    <w:p>
      <w:pPr>
        <w:spacing w:before="0" w:after="0" w:line="408" w:lineRule="exact"/>
        <w:ind w:left="0" w:right="0" w:firstLine="576"/>
        <w:jc w:val="left"/>
      </w:pPr>
      <w:r>
        <w:rPr/>
        <w:t xml:space="preserve">(4) Monetary penalties collected under this </w:t>
      </w:r>
      <w:r>
        <w:t>((</w:t>
      </w:r>
      <w:r>
        <w:rPr>
          <w:strike/>
        </w:rPr>
        <w:t xml:space="preserve">chapter</w:t>
      </w:r>
      <w:r>
        <w:t>))</w:t>
      </w:r>
      <w:r>
        <w:rPr/>
        <w:t xml:space="preserve"> </w:t>
      </w:r>
      <w:r>
        <w:rPr>
          <w:u w:val="single"/>
        </w:rPr>
        <w:t xml:space="preserve">section</w:t>
      </w:r>
      <w:r>
        <w:rPr/>
        <w:t xml:space="preserve">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400</w:t>
      </w:r>
      <w:r>
        <w:rPr/>
        <w:t xml:space="preserve"> and 2017 3rd sp.s. c 11 s 1 are each amended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homeowner recovery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(2)(a) Beginning July 1, 2026, a claimant is eligible to recover from the homeowner recovery program after making a claim, provided that each of the following conditions is satisfied:</w:t>
      </w:r>
    </w:p>
    <w:p>
      <w:pPr>
        <w:spacing w:before="0" w:after="0" w:line="408" w:lineRule="exact"/>
        <w:ind w:left="0" w:right="0" w:firstLine="576"/>
        <w:jc w:val="left"/>
      </w:pPr>
      <w:r>
        <w:rPr/>
        <w:t xml:space="preserve">(i) The claimant has a final judgment in a court of competent jurisdiction against a registered contractor for a claim brought under RCW 18.27.040(3) on the claimant's primary residence. For purposes of a claim brought on a multifamily dwelling consisting of more than one unit, only the unit in which the claimant actually resides is considered the claimant's primary residence;</w:t>
      </w:r>
    </w:p>
    <w:p>
      <w:pPr>
        <w:spacing w:before="0" w:after="0" w:line="408" w:lineRule="exact"/>
        <w:ind w:left="0" w:right="0" w:firstLine="576"/>
        <w:jc w:val="left"/>
      </w:pPr>
      <w:r>
        <w:rPr/>
        <w:t xml:space="preserve">(ii) The judgement specifies the actual damages suffered as a consequence of such a claim;</w:t>
      </w:r>
    </w:p>
    <w:p>
      <w:pPr>
        <w:spacing w:before="0" w:after="0" w:line="408" w:lineRule="exact"/>
        <w:ind w:left="0" w:right="0" w:firstLine="576"/>
        <w:jc w:val="left"/>
      </w:pPr>
      <w:r>
        <w:rPr/>
        <w:t xml:space="preserve">(iii) The claimant has proceeded against any existing bond covering the contractor;</w:t>
      </w:r>
    </w:p>
    <w:p>
      <w:pPr>
        <w:spacing w:before="0" w:after="0" w:line="408" w:lineRule="exact"/>
        <w:ind w:left="0" w:right="0" w:firstLine="576"/>
        <w:jc w:val="left"/>
      </w:pPr>
      <w:r>
        <w:rPr/>
        <w:t xml:space="preserve">(iv) The judgment has not been satisfied in full; and</w:t>
      </w:r>
    </w:p>
    <w:p>
      <w:pPr>
        <w:spacing w:before="0" w:after="0" w:line="408" w:lineRule="exact"/>
        <w:ind w:left="0" w:right="0" w:firstLine="576"/>
        <w:jc w:val="left"/>
      </w:pPr>
      <w:r>
        <w:rPr/>
        <w:t xml:space="preserve">(v) The claim for recovery under (b) of this subsection is made within 90 days after the conclusion of any civil action based on the act.</w:t>
      </w:r>
    </w:p>
    <w:p>
      <w:pPr>
        <w:spacing w:before="0" w:after="0" w:line="408" w:lineRule="exact"/>
        <w:ind w:left="0" w:right="0" w:firstLine="576"/>
        <w:jc w:val="left"/>
      </w:pPr>
      <w:r>
        <w:rPr/>
        <w:t xml:space="preserve">(b) The department shall provide for a form on its website for claimants to apply for payment from the account in accordance with this section. The department may determine by rule additional documentation required to complete a claim.</w:t>
      </w:r>
    </w:p>
    <w:p>
      <w:pPr>
        <w:spacing w:before="0" w:after="0" w:line="408" w:lineRule="exact"/>
        <w:ind w:left="0" w:right="0" w:firstLine="576"/>
        <w:jc w:val="left"/>
      </w:pPr>
      <w:r>
        <w:rPr/>
        <w:t xml:space="preserve">(3)(a) The priority of payment for eligible claims must be by the order of receipt by the department, subject to the limitations in this subsection (3). Payment for an eligible claim must be to the full extent of its eligibility, without proration, before consideration of payment for a subsequent claim in the order of receipt. Determinations regarding payments must be made by the department in its sole discretion.</w:t>
      </w:r>
    </w:p>
    <w:p>
      <w:pPr>
        <w:spacing w:before="0" w:after="0" w:line="408" w:lineRule="exact"/>
        <w:ind w:left="0" w:right="0" w:firstLine="576"/>
        <w:jc w:val="left"/>
      </w:pPr>
      <w:r>
        <w:rPr/>
        <w:t xml:space="preserve">(b) Payment from the account is limited to actual damages awarded in a final judgment, after recovery against the bond, for a claim brought under RCW 18.27.040(3). Payment from the account for other costs related to or pursuant to civil proceedings, such as attorneys' fees, court costs, or punitive damages, is prohibited.</w:t>
      </w:r>
    </w:p>
    <w:p>
      <w:pPr>
        <w:spacing w:before="0" w:after="0" w:line="408" w:lineRule="exact"/>
        <w:ind w:left="0" w:right="0" w:firstLine="576"/>
        <w:jc w:val="left"/>
      </w:pPr>
      <w:r>
        <w:rPr/>
        <w:t xml:space="preserve">(c) Payment from the account may not exceed $25,000 per contractor per parcel, or the amount unpaid on the judgment, whichever is less.</w:t>
      </w:r>
    </w:p>
    <w:p>
      <w:pPr>
        <w:spacing w:before="0" w:after="0" w:line="408" w:lineRule="exact"/>
        <w:ind w:left="0" w:right="0" w:firstLine="576"/>
        <w:jc w:val="left"/>
      </w:pPr>
      <w:r>
        <w:rPr/>
        <w:t xml:space="preserve">(d)(i) Total payments from the account for each fiscal year may not exceed 20 percent of the account balance at the end of that fiscal year.</w:t>
      </w:r>
    </w:p>
    <w:p>
      <w:pPr>
        <w:spacing w:before="0" w:after="0" w:line="408" w:lineRule="exact"/>
        <w:ind w:left="0" w:right="0" w:firstLine="576"/>
        <w:jc w:val="left"/>
      </w:pPr>
      <w:r>
        <w:rPr/>
        <w:t xml:space="preserve">(ii) The department must create and maintain a waitlist for any eligible claims unpaid due to an insufficient account balance under (d)(i) of this subsection. The waitlist must preserve the order of receipt in accordance with (a) of this subsection. The department may carry over a waitlist and authorize payments to eligible claims from previous fiscal years.</w:t>
      </w:r>
    </w:p>
    <w:p>
      <w:pPr>
        <w:spacing w:before="0" w:after="0" w:line="408" w:lineRule="exact"/>
        <w:ind w:left="0" w:right="0" w:firstLine="576"/>
        <w:jc w:val="left"/>
      </w:pPr>
      <w:r>
        <w:rPr/>
        <w:t xml:space="preserve">(e) Upon any payment from the account to a claimant, the department shall notify the contractor that a payment has been made and shall include any additional information about how to reimburse the account it deems necessary pursuant to subsection (5) of this section.</w:t>
      </w:r>
    </w:p>
    <w:p>
      <w:pPr>
        <w:spacing w:before="0" w:after="0" w:line="408" w:lineRule="exact"/>
        <w:ind w:left="0" w:right="0" w:firstLine="576"/>
        <w:jc w:val="left"/>
      </w:pPr>
      <w:r>
        <w:rPr/>
        <w:t xml:space="preserve">(f) The department is not criminally or civilly liable and may not have any penalty or cause of action of any nature arise against it regarding the provision or lack of provision of funds for reimbursement under this section.</w:t>
      </w:r>
    </w:p>
    <w:p>
      <w:pPr>
        <w:spacing w:before="0" w:after="0" w:line="408" w:lineRule="exact"/>
        <w:ind w:left="0" w:right="0" w:firstLine="576"/>
        <w:jc w:val="left"/>
      </w:pPr>
      <w:r>
        <w:rPr/>
        <w:t xml:space="preserve">(4)(a) At the time of payment from the account, the claimant shall assign his or her right, title, and interest in any final judgment to the department to the extent of such payment. The department shall be subrogated to the right, title, and interest of the claimant, and may pursue an insurer or other third party to recover amounts paid from the account. Any amount subsequently recovered on the judgment must be for the purpose of reimbursing the account.</w:t>
      </w:r>
    </w:p>
    <w:p>
      <w:pPr>
        <w:spacing w:before="0" w:after="0" w:line="408" w:lineRule="exact"/>
        <w:ind w:left="0" w:right="0" w:firstLine="576"/>
        <w:jc w:val="left"/>
      </w:pPr>
      <w:r>
        <w:rPr/>
        <w:t xml:space="preserve">(b) A claimant in receipt of payment from the account pursuant to this section is prohibited from pursuing collection, or authorizing another entity to pursue collection on the claimant's behalf, of the damages attributable to the same claims to the extent of such payment.</w:t>
      </w:r>
    </w:p>
    <w:p>
      <w:pPr>
        <w:spacing w:before="0" w:after="0" w:line="408" w:lineRule="exact"/>
        <w:ind w:left="0" w:right="0" w:firstLine="576"/>
        <w:jc w:val="left"/>
      </w:pPr>
      <w:r>
        <w:rPr/>
        <w:t xml:space="preserve">(5)(a) The department may pursue reimbursement to the account from the contractor for the amount paid from the account, as well as interest on that amount, in accordance with rules adopted by the department. The department may establish reimbursement payment plans up to 36 months. Any payment plan longer than 12 months must assess interest at a rate that is the prime rate plus two percent. The department must deposit all moneys recovered in the account.</w:t>
      </w:r>
    </w:p>
    <w:p>
      <w:pPr>
        <w:spacing w:before="0" w:after="0" w:line="408" w:lineRule="exact"/>
        <w:ind w:left="0" w:right="0" w:firstLine="576"/>
        <w:jc w:val="left"/>
      </w:pPr>
      <w:r>
        <w:rPr/>
        <w:t xml:space="preserve">(b) Where a contractor defaults in payment of reimbursement, collection of amounts will be handled pursuant to the procedures in RCW 49.48.086.</w:t>
      </w:r>
    </w:p>
    <w:p>
      <w:pPr>
        <w:spacing w:before="0" w:after="0" w:line="408" w:lineRule="exact"/>
        <w:ind w:left="0" w:right="0" w:firstLine="576"/>
        <w:jc w:val="left"/>
      </w:pPr>
      <w:r>
        <w:rPr/>
        <w:t xml:space="preserve">(c) The department may suspend or revoke registration if any payments that are missed.</w:t>
      </w:r>
    </w:p>
    <w:p>
      <w:pPr>
        <w:spacing w:before="0" w:after="0" w:line="408" w:lineRule="exact"/>
        <w:ind w:left="0" w:right="0" w:firstLine="576"/>
        <w:jc w:val="left"/>
      </w:pPr>
      <w:r>
        <w:rPr/>
        <w:t xml:space="preserve">(d) The department's duties with respect to obtaining reimbursement from the contractor to the account are limited to those specified within this subsection (5).</w:t>
      </w:r>
    </w:p>
    <w:p>
      <w:pPr>
        <w:spacing w:before="0" w:after="0" w:line="408" w:lineRule="exact"/>
        <w:ind w:left="0" w:right="0" w:firstLine="576"/>
        <w:jc w:val="left"/>
      </w:pPr>
      <w:r>
        <w:rPr/>
        <w:t xml:space="preserve">(6) Nothing contained herein limits the authority of the department to take action against a contractor for a violation under this chapter or the rules promulgated thereunder; nor does the reimbursement in full of all obligations to the account by a contractor effect any enforcement of a violation under this chapter or the rules promulgated thereunder.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"Account" means the homeowner recovery account created in section 7 of this act.</w:t>
      </w:r>
    </w:p>
    <w:p>
      <w:pPr>
        <w:spacing w:before="0" w:after="0" w:line="408" w:lineRule="exact"/>
        <w:ind w:left="0" w:right="0" w:firstLine="576"/>
        <w:jc w:val="left"/>
      </w:pPr>
      <w:r>
        <w:rPr/>
        <w:t xml:space="preserve">(b) "Claimant" means the owner of an owner-occupied residential property in the state.</w:t>
      </w:r>
    </w:p>
    <w:p>
      <w:pPr>
        <w:spacing w:before="0" w:after="0" w:line="408" w:lineRule="exact"/>
        <w:ind w:left="0" w:right="0" w:firstLine="576"/>
        <w:jc w:val="left"/>
      </w:pPr>
      <w:r>
        <w:rPr/>
        <w:t xml:space="preserve">(c) "Residential property" means a single-family dwelling, or a multifamily dwelling consisting of four or fewer units, but does not include a condominium.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homeowner recovery account is created in the custody of the state treasurer. All repayments under section 6 of this act, private contributions, and other moneys transferred or directed to the account must be deposited into the account. Expenditures from the account may only be used for the homeowner recovery program to satisfy unpaid judgments for eligible claims under section 6 of this act. Administrative costs of the program may not be paid from the account. Only the director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submit an annual report to the appropriate committees of the legislature, in accordance with RCW 43.01.036, on the total applications to and payments made under the homeowner recovery program under section 6 of this act and the status of the homeowner recovery account under section 7 of this act. The department may include recommendations for any changes to the program.</w:t>
      </w:r>
    </w:p>
    <w:p>
      <w:pPr>
        <w:spacing w:before="0" w:after="0" w:line="408" w:lineRule="exact"/>
        <w:ind w:left="0" w:right="0" w:firstLine="576"/>
        <w:jc w:val="left"/>
      </w:pPr>
      <w:r>
        <w:rPr/>
        <w:t xml:space="preserve">(2) This section expires December 31,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homeowner recovery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190</w:t>
      </w:r>
      <w:r>
        <w:rPr/>
        <w:t xml:space="preserve"> and 2017 3rd sp.s. c 11 s 4 are each amended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w:t>
      </w:r>
      <w:r>
        <w:t>((</w:t>
      </w:r>
      <w:r>
        <w:rPr>
          <w:strike/>
        </w:rPr>
        <w:t xml:space="preserve">Until June 30, 2023, on</w:t>
      </w:r>
      <w:r>
        <w:t>))</w:t>
      </w:r>
      <w:r>
        <w:rPr/>
        <w:t xml:space="preserve"> </w:t>
      </w:r>
      <w:r>
        <w:rPr>
          <w:u w:val="single"/>
        </w:rPr>
        <w:t xml:space="preserve">On</w:t>
      </w:r>
      <w:r>
        <w:rPr/>
        <w:t xml:space="preserve">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08c6432f451449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7622ce30d4b3c" /><Relationship Type="http://schemas.openxmlformats.org/officeDocument/2006/relationships/footer" Target="/word/footer1.xml" Id="R08c6432f451449bb" /></Relationships>
</file>