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90d145f7b04b36" /></Relationships>
</file>

<file path=word/document.xml><?xml version="1.0" encoding="utf-8"?>
<w:document xmlns:w="http://schemas.openxmlformats.org/wordprocessingml/2006/main">
  <w:body>
    <w:p>
      <w:r>
        <w:t>H-0750.1</w:t>
      </w:r>
    </w:p>
    <w:p>
      <w:pPr>
        <w:jc w:val="center"/>
      </w:pPr>
      <w:r>
        <w:t>_______________________________________________</w:t>
      </w:r>
    </w:p>
    <w:p/>
    <w:p>
      <w:pPr>
        <w:jc w:val="center"/>
      </w:pPr>
      <w:r>
        <w:rPr>
          <w:b/>
        </w:rPr>
        <w:t>HOUSE BILL 1551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Pollet, Doglio, Fitzgibbon, Berry, Gregerson, Fosse, and Bateman</w:t>
      </w:r>
    </w:p>
    <w:p/>
    <w:p>
      <w:r>
        <w:rPr>
          <w:t xml:space="preserve">Read first time 01/24/23.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lead in cookware; amending RCW 43.21B.110 and 43.21B.300;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"Cookware" means any metal pots, pans, bakeware, rice cookers, pressure cookers, and other containers and devices intended for the preparation or storage of food.</w:t>
      </w:r>
    </w:p>
    <w:p>
      <w:pPr>
        <w:spacing w:before="0" w:after="0" w:line="408" w:lineRule="exact"/>
        <w:ind w:left="0" w:right="0" w:firstLine="576"/>
        <w:jc w:val="left"/>
      </w:pPr>
      <w:r>
        <w:rPr/>
        <w:t xml:space="preserve">(2) "Component" includes separate or distinct parts of the cookware including, but not limited to, accessories such as lids, knobs, handles and handle assemblies, rivets, fasteners, valves, and vent pipes.</w:t>
      </w:r>
    </w:p>
    <w:p>
      <w:pPr>
        <w:spacing w:before="0" w:after="0" w:line="408" w:lineRule="exact"/>
        <w:ind w:left="0" w:right="0" w:firstLine="576"/>
        <w:jc w:val="left"/>
      </w:pPr>
      <w:r>
        <w:rPr/>
        <w:t xml:space="preserve">(3) "Department" means the Washington state department of ecology.</w:t>
      </w:r>
    </w:p>
    <w:p>
      <w:pPr>
        <w:spacing w:before="0" w:after="0" w:line="408" w:lineRule="exact"/>
        <w:ind w:left="0" w:right="0" w:firstLine="576"/>
        <w:jc w:val="left"/>
      </w:pPr>
      <w:r>
        <w:rPr/>
        <w:t xml:space="preserve">(4) "Manufacturer" means any person, firm, association, partnership, corporation, governmental entity, organization, or joint venture that produces a product or is an importer or domestic distributor of a product sold or offered for sale in or into the state.</w:t>
      </w:r>
    </w:p>
    <w:p>
      <w:pPr>
        <w:spacing w:before="0" w:after="0" w:line="408" w:lineRule="exact"/>
        <w:ind w:left="0" w:right="0" w:firstLine="576"/>
        <w:jc w:val="left"/>
      </w:pPr>
      <w:r>
        <w:rPr/>
        <w:t xml:space="preserve">(5) "Vulnerable populations" has the same meaning as defined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no manufacturer, wholesaler, or retailer may manufacture, sell, offer for sale, distribute for sale, or distribute for use in this state cookware or cookware component containing lead or lead compounds at a level of more than five parts per million.</w:t>
      </w:r>
    </w:p>
    <w:p>
      <w:pPr>
        <w:spacing w:before="0" w:after="0" w:line="408" w:lineRule="exact"/>
        <w:ind w:left="0" w:right="0" w:firstLine="576"/>
        <w:jc w:val="left"/>
      </w:pPr>
      <w:r>
        <w:rPr/>
        <w:t xml:space="preserve">(2) The department, in consultation with the department of health, may lower the five part per million limit established in subsection (1) of this section by rule if it determines that the lower limit is:</w:t>
      </w:r>
    </w:p>
    <w:p>
      <w:pPr>
        <w:spacing w:before="0" w:after="0" w:line="408" w:lineRule="exact"/>
        <w:ind w:left="0" w:right="0" w:firstLine="576"/>
        <w:jc w:val="left"/>
      </w:pPr>
      <w:r>
        <w:rPr/>
        <w:t xml:space="preserve">(a) Feasible for cookware and cookware component manufacturers to achieve; and</w:t>
      </w:r>
    </w:p>
    <w:p>
      <w:pPr>
        <w:spacing w:before="0" w:after="0" w:line="408" w:lineRule="exact"/>
        <w:ind w:left="0" w:right="0" w:firstLine="576"/>
        <w:jc w:val="left"/>
      </w:pPr>
      <w:r>
        <w:rPr/>
        <w:t xml:space="preserve">(b) Necessary to protect human health, including the health of vulnerable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 A person violating a requirement of this chapter, a rule adopted under this chapter, or an order issued under this chapter, is subject to a civil penalty not to exceed $5,000 for each violation in the case of a first offense. Repeat violations are subject to a civil penalty not to exceed $10,000 for each repeat offense.</w:t>
      </w:r>
    </w:p>
    <w:p>
      <w:pPr>
        <w:spacing w:before="0" w:after="0" w:line="408" w:lineRule="exact"/>
        <w:ind w:left="0" w:right="0" w:firstLine="576"/>
        <w:jc w:val="left"/>
      </w:pPr>
      <w:r>
        <w:rPr/>
        <w:t xml:space="preserve">(3)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(4) All penalties collected under this chapter shall be deposited in the model toxics control operating account created in RCW 70A.305.180.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 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section 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70A.455.090, </w:t>
      </w:r>
      <w:r>
        <w:rPr>
          <w:u w:val="single"/>
        </w:rPr>
        <w:t xml:space="preserve">section 3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t>
      </w:r>
      <w:r>
        <w:rPr>
          <w:u w:val="single"/>
        </w:rPr>
        <w:t xml:space="preserve">and section 3 of this act</w:t>
      </w:r>
      <w:r>
        <w:rPr/>
        <w:t xml:space="preserve">,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ae05ccb958a47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cd366cb065420e" /><Relationship Type="http://schemas.openxmlformats.org/officeDocument/2006/relationships/footer" Target="/word/footer1.xml" Id="R3ae05ccb958a475f" /></Relationships>
</file>