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c5581b832b4fd7" /></Relationships>
</file>

<file path=word/document.xml><?xml version="1.0" encoding="utf-8"?>
<w:document xmlns:w="http://schemas.openxmlformats.org/wordprocessingml/2006/main">
  <w:body>
    <w:p>
      <w:r>
        <w:t>H-2676.1</w:t>
      </w:r>
    </w:p>
    <w:p>
      <w:pPr>
        <w:jc w:val="center"/>
      </w:pPr>
      <w:r>
        <w:t>_______________________________________________</w:t>
      </w:r>
    </w:p>
    <w:p/>
    <w:p>
      <w:pPr>
        <w:jc w:val="center"/>
      </w:pPr>
      <w:r>
        <w:rPr>
          <w:b/>
        </w:rPr>
        <w:t>THIRD SUBSTITUTE HOUSE BILL 1565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Education (originally sponsored by Representatives Ortiz-Self, Santos, Berry, Simmons, Reeves, Fey, Ryu, Alvarado, Bronoske, Goodman, Gregerson, Doglio, Paul, Peterson, Lekanoff, Ramel, Bergquist, Reed, Pollet, Timmons, and Macri)</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and strengthening the professional education workforce through recruitment, residency, research, and retention strategies;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joint select committee on supporting and strengthening the teacher workforce through recruitment, preparation, and retention strategies is established, with eight members as provided in this subsection.</w:t>
      </w:r>
    </w:p>
    <w:p>
      <w:pPr>
        <w:spacing w:before="0" w:after="0" w:line="408" w:lineRule="exact"/>
        <w:ind w:left="0" w:right="0" w:firstLine="576"/>
        <w:jc w:val="left"/>
      </w:pPr>
      <w:r>
        <w:rPr/>
        <w:t xml:space="preserve">(i) The president of the senate shall appoint four members from each of the two largest caucuses of the senate. One member from each caucus must be a member of the senate's early learning and K-12 education committee, or successor committee. One member from each caucus must be a member of the senate's higher education and workforce development committee, or successor committee.</w:t>
      </w:r>
    </w:p>
    <w:p>
      <w:pPr>
        <w:spacing w:before="0" w:after="0" w:line="408" w:lineRule="exact"/>
        <w:ind w:left="0" w:right="0" w:firstLine="576"/>
        <w:jc w:val="left"/>
      </w:pPr>
      <w:r>
        <w:rPr/>
        <w:t xml:space="preserve">(ii) The speaker of the house of representatives shall appoint four members from each of the two largest caucuses of the house of representatives. One member from each caucus must be a member of the house of representatives' education committee, or successor committee. One member from each caucus must be a member of the house of representatives' postsecondary education and workforce committee, or successor committee.</w:t>
      </w:r>
    </w:p>
    <w:p>
      <w:pPr>
        <w:spacing w:before="0" w:after="0" w:line="408" w:lineRule="exact"/>
        <w:ind w:left="0" w:right="0" w:firstLine="576"/>
        <w:jc w:val="left"/>
      </w:pPr>
      <w:r>
        <w:rPr/>
        <w:t xml:space="preserve">(b) The committee shall choose its cochairs from among its membership. A member from the house of representatives' education committee, or successor committee, shall convene the initial meeting of the committee.</w:t>
      </w:r>
    </w:p>
    <w:p>
      <w:pPr>
        <w:spacing w:before="0" w:after="0" w:line="408" w:lineRule="exact"/>
        <w:ind w:left="0" w:right="0" w:firstLine="576"/>
        <w:jc w:val="left"/>
      </w:pPr>
      <w:r>
        <w:rPr/>
        <w:t xml:space="preserve">(2) At a minimum, the committee shall review:</w:t>
      </w:r>
    </w:p>
    <w:p>
      <w:pPr>
        <w:spacing w:before="0" w:after="0" w:line="408" w:lineRule="exact"/>
        <w:ind w:left="0" w:right="0" w:firstLine="576"/>
        <w:jc w:val="left"/>
      </w:pPr>
      <w:r>
        <w:rPr/>
        <w:t xml:space="preserve">(a) The reports of the professional educator collaborative established in section 402, chapter 295, Laws of 2019;</w:t>
      </w:r>
    </w:p>
    <w:p>
      <w:pPr>
        <w:spacing w:before="0" w:after="0" w:line="408" w:lineRule="exact"/>
        <w:ind w:left="0" w:right="0" w:firstLine="576"/>
        <w:jc w:val="left"/>
      </w:pPr>
      <w:r>
        <w:rPr/>
        <w:t xml:space="preserve">(b) State and national data on teacher recruitment, preparation, and retention, including demographic data;</w:t>
      </w:r>
    </w:p>
    <w:p>
      <w:pPr>
        <w:spacing w:before="0" w:after="0" w:line="408" w:lineRule="exact"/>
        <w:ind w:left="0" w:right="0" w:firstLine="576"/>
        <w:jc w:val="left"/>
      </w:pPr>
      <w:r>
        <w:rPr/>
        <w:t xml:space="preserve">(c) Models for teacher preparation for undergraduates and bachelor's degree holders, including residency and registered apprenticeship models;</w:t>
      </w:r>
    </w:p>
    <w:p>
      <w:pPr>
        <w:spacing w:before="0" w:after="0" w:line="408" w:lineRule="exact"/>
        <w:ind w:left="0" w:right="0" w:firstLine="576"/>
        <w:jc w:val="left"/>
      </w:pPr>
      <w:r>
        <w:rPr/>
        <w:t xml:space="preserve">(d) Alignment of teacher preparation models; and</w:t>
      </w:r>
    </w:p>
    <w:p>
      <w:pPr>
        <w:spacing w:before="0" w:after="0" w:line="408" w:lineRule="exact"/>
        <w:ind w:left="0" w:right="0" w:firstLine="576"/>
        <w:jc w:val="left"/>
      </w:pPr>
      <w:r>
        <w:rPr/>
        <w:t xml:space="preserve">(e) Teacher licensing requirements, including use of state compacts.</w:t>
      </w:r>
    </w:p>
    <w:p>
      <w:pPr>
        <w:spacing w:before="0" w:after="0" w:line="408" w:lineRule="exact"/>
        <w:ind w:left="0" w:right="0" w:firstLine="576"/>
        <w:jc w:val="left"/>
      </w:pPr>
      <w:r>
        <w:rPr/>
        <w:t xml:space="preserve">(3) Staff support for the committee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committee are reimbursed for travel expenses in accordance with RCW 44.04.120.</w:t>
      </w:r>
    </w:p>
    <w:p>
      <w:pPr>
        <w:spacing w:before="0" w:after="0" w:line="408" w:lineRule="exact"/>
        <w:ind w:left="0" w:right="0" w:firstLine="576"/>
        <w:jc w:val="left"/>
      </w:pPr>
      <w:r>
        <w:rPr/>
        <w:t xml:space="preserve">(5)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committee shall report its findings and recommendations to the governor, the superintendent of public instruction, and the appropriate committees of the legislature by November 1, 2024.</w:t>
      </w:r>
    </w:p>
    <w:p>
      <w:pPr>
        <w:spacing w:before="0" w:after="0" w:line="408" w:lineRule="exact"/>
        <w:ind w:left="0" w:right="0" w:firstLine="576"/>
        <w:jc w:val="left"/>
      </w:pPr>
      <w:r>
        <w:rPr/>
        <w:t xml:space="preserve">(7) This section expires August 1, 2025.</w:t>
      </w:r>
    </w:p>
    <w:p/>
    <w:p>
      <w:pPr>
        <w:jc w:val="center"/>
      </w:pPr>
      <w:r>
        <w:rPr>
          <w:b/>
        </w:rPr>
        <w:t>--- END ---</w:t>
      </w:r>
    </w:p>
    <w:sectPr>
      <w:pgNumType w:start="1"/>
      <w:footerReference xmlns:r="http://schemas.openxmlformats.org/officeDocument/2006/relationships" r:id="R1bb216e25a6542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b71f4521544a4e" /><Relationship Type="http://schemas.openxmlformats.org/officeDocument/2006/relationships/footer" Target="/word/footer1.xml" Id="R1bb216e25a6542c8" /></Relationships>
</file>