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048ad5c184038" /></Relationships>
</file>

<file path=word/document.xml><?xml version="1.0" encoding="utf-8"?>
<w:document xmlns:w="http://schemas.openxmlformats.org/wordprocessingml/2006/main">
  <w:body>
    <w:p>
      <w:r>
        <w:t>H-1215.1</w:t>
      </w:r>
    </w:p>
    <w:p>
      <w:pPr>
        <w:jc w:val="center"/>
      </w:pPr>
      <w:r>
        <w:t>_______________________________________________</w:t>
      </w:r>
    </w:p>
    <w:p/>
    <w:p>
      <w:pPr>
        <w:jc w:val="center"/>
      </w:pPr>
      <w:r>
        <w:rPr>
          <w:b/>
        </w:rPr>
        <w:t>SUBSTITUTE HOUSE BILL 1567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Gregerson, Lekanoff, Jacobsen, Doglio, and Reed)</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commissioning a study on conservation district election costs under Title 29A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an examination of the costs associated with conservation district elections under current law, and the projected costs and benefits for shifting conservation district elections to be held on general election ballots under Title 29A RCW and making related changes as described below.</w:t>
      </w:r>
    </w:p>
    <w:p>
      <w:pPr>
        <w:spacing w:before="0" w:after="0" w:line="408" w:lineRule="exact"/>
        <w:ind w:left="0" w:right="0" w:firstLine="576"/>
        <w:jc w:val="left"/>
      </w:pPr>
      <w:r>
        <w:rPr/>
        <w:t xml:space="preserve">(2) The examination under this section must specifically include, to the extent that the data allow:</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6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(c) and (d) of this subsection.</w:t>
      </w:r>
    </w:p>
    <w:p>
      <w:pPr>
        <w:spacing w:before="0" w:after="0" w:line="408" w:lineRule="exact"/>
        <w:ind w:left="0" w:right="0" w:firstLine="576"/>
        <w:jc w:val="left"/>
      </w:pPr>
      <w:r>
        <w:rPr/>
        <w:t xml:space="preserve">(3) The Washington state institute for public policy must provide as much information as possible in a preliminary report to the legislature by December 1, 2023. A final report must be completed by June 30, 2024,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(4) This section expires June 30, 2025.</w:t>
      </w:r>
    </w:p>
    <w:p/>
    <w:p>
      <w:pPr>
        <w:jc w:val="center"/>
      </w:pPr>
      <w:r>
        <w:rPr>
          <w:b/>
        </w:rPr>
        <w:t>--- END ---</w:t>
      </w:r>
    </w:p>
    <w:sectPr>
      <w:pgNumType w:start="1"/>
      <w:footerReference xmlns:r="http://schemas.openxmlformats.org/officeDocument/2006/relationships" r:id="R468ee02c4bc547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db35d7a4644f5" /><Relationship Type="http://schemas.openxmlformats.org/officeDocument/2006/relationships/footer" Target="/word/footer1.xml" Id="R468ee02c4bc54774" /></Relationships>
</file>