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52d63118d4f34" /></Relationships>
</file>

<file path=word/document.xml><?xml version="1.0" encoding="utf-8"?>
<w:document xmlns:w="http://schemas.openxmlformats.org/wordprocessingml/2006/main">
  <w:body>
    <w:p>
      <w:r>
        <w:t>H-0665.1</w:t>
      </w:r>
    </w:p>
    <w:p>
      <w:pPr>
        <w:jc w:val="center"/>
      </w:pPr>
      <w:r>
        <w:t>_______________________________________________</w:t>
      </w:r>
    </w:p>
    <w:p/>
    <w:p>
      <w:pPr>
        <w:jc w:val="center"/>
      </w:pPr>
      <w:r>
        <w:rPr>
          <w:b/>
        </w:rPr>
        <w:t>HOUSE BILL 1594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and Springer</w:t>
      </w:r>
    </w:p>
    <w:p/>
    <w:p>
      <w:r>
        <w:rPr>
          <w:t xml:space="preserve">Read first time 01/25/23.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types of maintenance experience to substitute for work experience required to be eligible to take the examination for the residential maintenance specialty electrician certificate; and amending RCW 19.28.191.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successfully completed an apprenticeship program approved under chapter 49.04 RCW or equivalent apprenticeship program approved by the department for the electrical construction trade in which the applicant worked in the electrical construction trade for a minimum of eight thousand hours. Four thousand of the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w:t>
      </w:r>
      <w:r>
        <w:rPr>
          <w:u w:val="single"/>
        </w:rPr>
        <w:t xml:space="preserve">However, an applicant seeking to take the specialty examination for residential maintenance (as specified in WAC 296-46B-920(2)(i)) may substitute four years of direct maintenance experience in property management for the initial period of 100 percent supervised work that is required before being eligible to take the examination. The applicant must provide proof to the department with a notarized verification letter documenting the work experience the applicant has accrued in direct maintenance experience in property management.</w:t>
      </w:r>
      <w:r>
        <w:rPr/>
        <w:t xml:space="preserve">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two thousand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
      <w:pPr>
        <w:jc w:val="center"/>
      </w:pPr>
      <w:r>
        <w:rPr>
          <w:b/>
        </w:rPr>
        <w:t>--- END ---</w:t>
      </w:r>
    </w:p>
    <w:sectPr>
      <w:pgNumType w:start="1"/>
      <w:footerReference xmlns:r="http://schemas.openxmlformats.org/officeDocument/2006/relationships" r:id="R0ebb726ba6cf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a9094187d4276" /><Relationship Type="http://schemas.openxmlformats.org/officeDocument/2006/relationships/footer" Target="/word/footer1.xml" Id="R0ebb726ba6cf458c" /></Relationships>
</file>