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7b4099ff44d9e" /></Relationships>
</file>

<file path=word/document.xml><?xml version="1.0" encoding="utf-8"?>
<w:document xmlns:w="http://schemas.openxmlformats.org/wordprocessingml/2006/main">
  <w:body>
    <w:p>
      <w:r>
        <w:t>H-1325.1</w:t>
      </w:r>
    </w:p>
    <w:p>
      <w:pPr>
        <w:jc w:val="center"/>
      </w:pPr>
      <w:r>
        <w:t>_______________________________________________</w:t>
      </w:r>
    </w:p>
    <w:p/>
    <w:p>
      <w:pPr>
        <w:jc w:val="center"/>
      </w:pPr>
      <w:r>
        <w:rPr>
          <w:b/>
        </w:rPr>
        <w:t>SUBSTITUTE HOUSE BILL 1596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Kloba, Bateman, Goodman, Springer, Reed, Ryu, Reeves, Ramel, Doglio, Pollet, and Hackney)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increase affordable housing in their communities;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county with a population of more than 1,500,000, or of a city within such a county, that has jurisdiction over the property for which an exemption may be applied under this chapter.</w:t>
      </w:r>
    </w:p>
    <w:p>
      <w:pPr>
        <w:spacing w:before="0" w:after="0" w:line="408" w:lineRule="exact"/>
        <w:ind w:left="0" w:right="0" w:firstLine="576"/>
        <w:jc w:val="left"/>
      </w:pPr>
      <w:r>
        <w:rPr/>
        <w:t xml:space="preserve">(2) "Health and quality standards" means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 The property must comply with one or more standards of the applicable state or local building or housing codes on or after July 23, 1995.</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"Owner" means the property owner of record.</w:t>
      </w:r>
    </w:p>
    <w:p>
      <w:pPr>
        <w:spacing w:before="0" w:after="0" w:line="408" w:lineRule="exact"/>
        <w:ind w:left="0" w:right="0" w:firstLine="576"/>
        <w:jc w:val="left"/>
      </w:pPr>
      <w:r>
        <w:rPr/>
        <w:t xml:space="preserve">(5) "Single-family dwelling" means an individual detached dwelling permanently affixed to the ground.</w:t>
      </w:r>
    </w:p>
    <w:p>
      <w:pPr>
        <w:spacing w:before="0" w:after="0" w:line="408" w:lineRule="exact"/>
        <w:ind w:left="0" w:right="0" w:firstLine="576"/>
        <w:jc w:val="left"/>
      </w:pPr>
      <w:r>
        <w:rPr/>
        <w:t xml:space="preserve">(6) "Very low-income household" means a single person, family, or unrelated persons living together whose adjusted income is at or below 50 percent of the area median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an affordable housing incentive program to preserve affordable housing within the city that meets health and quality standards for very low-income households at risk of displacement or that cannot afford market rate housing. A county governing authority may by ordinance or resolution establish an affordable housing incentive program for unincorporated areas to preserve affordable housing that meets health and quality standards for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affordable housing incentive program adopted by the governing authority under this chapter must include qualifying standards for very low-income household rental housing. The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an accessory dwelling unit attached, built-in, or detached to a single-family dwelling must be affordable to very low-income households.</w:t>
      </w:r>
    </w:p>
    <w:p>
      <w:pPr>
        <w:spacing w:before="0" w:after="0" w:line="408" w:lineRule="exact"/>
        <w:ind w:left="0" w:right="0" w:firstLine="576"/>
        <w:jc w:val="left"/>
      </w:pPr>
      <w:r>
        <w:rPr/>
        <w:t xml:space="preserve">(3) Annual household income requalification is not required after initial qualification, except in the case of a change or substitution of adults living in the unit.</w:t>
      </w:r>
    </w:p>
    <w:p>
      <w:pPr>
        <w:spacing w:before="0" w:after="0" w:line="408" w:lineRule="exact"/>
        <w:ind w:left="0" w:right="0" w:firstLine="576"/>
        <w:jc w:val="left"/>
      </w:pPr>
      <w:r>
        <w:rPr/>
        <w:t xml:space="preserve">(4) Rent levels for qualifying affordable housing units, including any mandatory fees for tenant-paid utilities that are required as a condition of tenancy, may not exceed 30 percent of the income limit for the very low-income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single-family dwellings permanently affixed to the land,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10 of this act. The exemption for qualifying single-family properties may be repeatedly renewed for successive six-year periods as long as the property continues to comply with the affordable housing incentive program during each six-year period.</w:t>
      </w:r>
    </w:p>
    <w:p>
      <w:pPr>
        <w:spacing w:before="0" w:after="0" w:line="408" w:lineRule="exact"/>
        <w:ind w:left="0" w:right="0" w:firstLine="576"/>
        <w:jc w:val="left"/>
      </w:pPr>
      <w:r>
        <w:rPr/>
        <w:t xml:space="preserve">(2) The exemption provided under this chapter is in addition to any tax credits, grants, or other incentives provided by law to increase the rental affordability.</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an affordable housing incentive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The qualifying property must be part of an affordable attached, built-in, or detached dwelling unit that is accessory to a single-family dwelling; </w:t>
      </w:r>
    </w:p>
    <w:p>
      <w:pPr>
        <w:spacing w:before="0" w:after="0" w:line="408" w:lineRule="exact"/>
        <w:ind w:left="0" w:right="0" w:firstLine="576"/>
        <w:jc w:val="left"/>
      </w:pPr>
      <w:r>
        <w:rPr/>
        <w:t xml:space="preserve">(2) Only the attached, built-in, or detached accessory dwelling unit and underlying land dedicated solely to the accessory dwelling unit may qualify for the exemption. The owner must continue to reside in either the main house or the accessory dwelling unit for the exemption to apply; and</w:t>
      </w:r>
    </w:p>
    <w:p>
      <w:pPr>
        <w:spacing w:before="0" w:after="0" w:line="408" w:lineRule="exact"/>
        <w:ind w:left="0" w:right="0" w:firstLine="576"/>
        <w:jc w:val="left"/>
      </w:pPr>
      <w:r>
        <w:rPr/>
        <w:t xml:space="preserve">(3) The property owner must enter into a contract with the city or county agreeing to terms and conditions required to satisfy eligibility criteria of the affordable housing incentive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building and housing code requirements, including space and occupancy, structural, mechanical, fire, safety, and security standards; and health and quality standards as established in section 2 of this act.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must deny an application for tax exemption for failure to comply with health and quality standards as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limit participation in the affordable housing incentive program to:</w:t>
      </w:r>
    </w:p>
    <w:p>
      <w:pPr>
        <w:spacing w:before="0" w:after="0" w:line="408" w:lineRule="exact"/>
        <w:ind w:left="0" w:right="0" w:firstLine="576"/>
        <w:jc w:val="left"/>
      </w:pPr>
      <w:r>
        <w:rPr/>
        <w:t xml:space="preserve">(a) Particular targeted areas that present particular risk or displacement or that provide unique affordable housing opportunities near community infrastructure such as transportation or public schools; and</w:t>
      </w:r>
    </w:p>
    <w:p>
      <w:pPr>
        <w:spacing w:before="0" w:after="0" w:line="408" w:lineRule="exact"/>
        <w:ind w:left="0" w:right="0" w:firstLine="576"/>
        <w:jc w:val="left"/>
      </w:pPr>
      <w:r>
        <w:rPr/>
        <w:t xml:space="preserve">(b) Detached dwelling units that are accessory to a single-family dwelling.</w:t>
      </w:r>
    </w:p>
    <w:p>
      <w:pPr>
        <w:spacing w:before="0" w:after="0" w:line="408" w:lineRule="exact"/>
        <w:ind w:left="0" w:right="0" w:firstLine="576"/>
        <w:jc w:val="left"/>
      </w:pPr>
      <w:r>
        <w:rPr/>
        <w:t xml:space="preserve">(2) The governing authority must adopt and implement standards to be utilized in considering applications and making the determinations required under this chapter. The standards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as described in section 6 of this act;</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3 of this act;</w:t>
      </w:r>
    </w:p>
    <w:p>
      <w:pPr>
        <w:spacing w:before="0" w:after="0" w:line="408" w:lineRule="exact"/>
        <w:ind w:left="0" w:right="0" w:firstLine="576"/>
        <w:jc w:val="left"/>
      </w:pPr>
      <w:r>
        <w:rPr/>
        <w:t xml:space="preserve">(e) Documentation submittal requirements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requirements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approval of an application meeting the requirements of section 8 of this act, the applicable city or county agency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 the property and owner satisfy the requirements of this chapter.</w:t>
      </w:r>
    </w:p>
    <w:p>
      <w:pPr>
        <w:spacing w:before="0" w:after="0" w:line="408" w:lineRule="exact"/>
        <w:ind w:left="0" w:right="0" w:firstLine="576"/>
        <w:jc w:val="left"/>
      </w:pPr>
      <w:r>
        <w:rPr/>
        <w:t xml:space="preserve">(2) If the application is approved, the governing authority must issue the owner a certificate of tax exemption. The certificate must contain a statement specifying that the property satisfies the requirements of this chapter. The governing authority must submit a copy of the certificate to the assessor no later than August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(4) An applicant may appeal the governing authority's decision to the governing authority or its designated agent within 30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official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3 of this act; and</w:t>
      </w:r>
    </w:p>
    <w:p>
      <w:pPr>
        <w:spacing w:before="0" w:after="0" w:line="408" w:lineRule="exact"/>
        <w:ind w:left="0" w:right="0" w:firstLine="576"/>
        <w:jc w:val="left"/>
      </w:pPr>
      <w:r>
        <w:rPr/>
        <w:t xml:space="preserve">(b) Any other information required by the city or county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monthly rent amount for each affordable unit; and</w:t>
      </w:r>
    </w:p>
    <w:p>
      <w:pPr>
        <w:spacing w:before="0" w:after="0" w:line="408" w:lineRule="exact"/>
        <w:ind w:left="0" w:right="0" w:firstLine="576"/>
        <w:jc w:val="left"/>
      </w:pPr>
      <w:r>
        <w:rPr/>
        <w:t xml:space="preserve">(c)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Land and improvements exempted under this chapter continue to be exempted for the applicable period under section 4 of this act, if the improvements continue to satisfy all applicable conditions. If the owner intends to discontinue compliance with the affordable housing requirements as described in section 4 of this act or any other condition to the exemption, the owner must notify tenants and the jurisdiction within 60 days of the owner's intended discontinuance. If the city or county is notified by the owner of intent to discontinue compliance, the tax exemption must be canceled. If the city or county discovers that a portion of the property no longer meets the qualifications of the city's or county's exemption program and the owner did not comply with the terms and conditions required in section 5(3) of this act, the tax exemption must be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2023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an exemption from ad valorem property taxation for residential improvements and land qualifying under chapter . . ., Laws of 2023 (this act) and to provide incentives to property owners to preserve affordable housing units for very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fa7389a86c8a43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abe7de1264edb" /><Relationship Type="http://schemas.openxmlformats.org/officeDocument/2006/relationships/footer" Target="/word/footer1.xml" Id="Rfa7389a86c8a43dc" /></Relationships>
</file>