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7af289bac7435f" /></Relationships>
</file>

<file path=word/document.xml><?xml version="1.0" encoding="utf-8"?>
<w:document xmlns:w="http://schemas.openxmlformats.org/wordprocessingml/2006/main">
  <w:body>
    <w:p>
      <w:r>
        <w:t>H-0803.2</w:t>
      </w:r>
    </w:p>
    <w:p>
      <w:pPr>
        <w:jc w:val="center"/>
      </w:pPr>
      <w:r>
        <w:t>_______________________________________________</w:t>
      </w:r>
    </w:p>
    <w:p/>
    <w:p>
      <w:pPr>
        <w:jc w:val="center"/>
      </w:pPr>
      <w:r>
        <w:rPr>
          <w:b/>
        </w:rPr>
        <w:t>HOUSE BILL 1641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Davis, Dent, Leavitt, Harris, Callan, Eslick, Walen, Ortiz-Self, Ramel, Rule, Gregerson, and Pollet</w:t>
      </w:r>
    </w:p>
    <w:p/>
    <w:p>
      <w:r>
        <w:rPr>
          <w:t xml:space="preserve">Read first time 01/27/23.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policy solutions to address public health challenges of high-potency cannabis products; amending RCW 69.50.535, 69.50.369, 69.50.357, and 69.50.346; and reenacting and amending RCW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2022 c 16 s 101 are each amended to read as follows:</w:t>
      </w:r>
    </w:p>
    <w:p>
      <w:pPr>
        <w:spacing w:before="0" w:after="0" w:line="408" w:lineRule="exact"/>
        <w:ind w:left="0" w:right="0" w:firstLine="576"/>
        <w:jc w:val="left"/>
      </w:pPr>
      <w:r>
        <w:rPr/>
        <w:t xml:space="preserve">(1)(a) There is levied and collected a cannabis excise tax equal to </w:t>
      </w:r>
      <w:r>
        <w:t>((</w:t>
      </w:r>
      <w:r>
        <w:rPr>
          <w:strike/>
        </w:rPr>
        <w:t xml:space="preserve">thirty-seven</w:t>
      </w:r>
      <w:r>
        <w:t>))</w:t>
      </w:r>
      <w:r>
        <w:rPr>
          <w:u w:val="single"/>
        </w:rPr>
        <w:t xml:space="preserve">:</w:t>
      </w:r>
    </w:p>
    <w:p>
      <w:pPr>
        <w:spacing w:before="0" w:after="0" w:line="408" w:lineRule="exact"/>
        <w:ind w:left="0" w:right="0" w:firstLine="576"/>
        <w:jc w:val="left"/>
      </w:pPr>
      <w:r>
        <w:rPr>
          <w:u w:val="single"/>
        </w:rPr>
        <w:t xml:space="preserve">(i) 37</w:t>
      </w:r>
      <w:r>
        <w:rPr/>
        <w:t xml:space="preserve"> percent of the selling price on each retail sale in this state of </w:t>
      </w:r>
      <w:r>
        <w:t>((</w:t>
      </w:r>
      <w:r>
        <w:rPr>
          <w:strike/>
        </w:rPr>
        <w:t xml:space="preserve">cannabis concentrates, useable cannabis, and</w:t>
      </w:r>
      <w:r>
        <w:t>))</w:t>
      </w:r>
      <w:r>
        <w:rPr/>
        <w:t xml:space="preserve"> cannabis-infused products</w:t>
      </w:r>
      <w:r>
        <w:rPr>
          <w:u w:val="single"/>
        </w:rPr>
        <w:t xml:space="preserve">, useable cannabis with a THC concentration less than 35 percent, and cannabis concentrates with a THC concentration less than 35 percent;</w:t>
      </w:r>
    </w:p>
    <w:p>
      <w:pPr>
        <w:spacing w:before="0" w:after="0" w:line="408" w:lineRule="exact"/>
        <w:ind w:left="0" w:right="0" w:firstLine="576"/>
        <w:jc w:val="left"/>
      </w:pPr>
      <w:r>
        <w:rPr>
          <w:u w:val="single"/>
        </w:rPr>
        <w:t xml:space="preserve">(ii) 50 percent of the selling price on each retail sale in this state of cannabis concentrates and useable cannabis with a THC concentration of 35 percent or greater but less than 60 percent; and</w:t>
      </w:r>
    </w:p>
    <w:p>
      <w:pPr>
        <w:spacing w:before="0" w:after="0" w:line="408" w:lineRule="exact"/>
        <w:ind w:left="0" w:right="0" w:firstLine="576"/>
        <w:jc w:val="left"/>
      </w:pPr>
      <w:r>
        <w:rPr>
          <w:u w:val="single"/>
        </w:rPr>
        <w:t xml:space="preserve">(iii) 65 percent of the selling price on each retail sale in this state of cannabis concentrates and useable cannabis with a THC concentration greater than 60 percent</w:t>
      </w:r>
      <w:r>
        <w:rPr/>
        <w:t xml:space="preserve">.</w:t>
      </w:r>
    </w:p>
    <w:p>
      <w:pPr>
        <w:spacing w:before="0" w:after="0" w:line="408" w:lineRule="exact"/>
        <w:ind w:left="0" w:right="0" w:firstLine="576"/>
        <w:jc w:val="left"/>
      </w:pPr>
      <w:r>
        <w:rPr>
          <w:u w:val="single"/>
        </w:rPr>
        <w:t xml:space="preserve">(b)</w:t>
      </w:r>
      <w:r>
        <w:rPr/>
        <w:t xml:space="preserve">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tax levied in this section must be reflected in the price list or quoted shelf price in the licensed cannabis retail store and in any advertising that includes prices for all useable cannabis, cannabis concentrates, or cannabis-infused products.</w:t>
      </w:r>
    </w:p>
    <w:p>
      <w:pPr>
        <w:spacing w:before="0" w:after="0" w:line="408" w:lineRule="exact"/>
        <w:ind w:left="0" w:right="0" w:firstLine="576"/>
        <w:jc w:val="left"/>
      </w:pPr>
      <w:r>
        <w:rPr/>
        <w:t xml:space="preserve">(2) All revenues collected from the cannabis excise tax imposed under this section must be deposited each day in the dedicated cannabis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cannabis, cannabis concentrates, useable cannabis, and cannabis-infused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cannabis tax change;</w:t>
      </w:r>
    </w:p>
    <w:p>
      <w:pPr>
        <w:spacing w:before="0" w:after="0" w:line="408" w:lineRule="exact"/>
        <w:ind w:left="0" w:right="0" w:firstLine="576"/>
        <w:jc w:val="left"/>
      </w:pPr>
      <w:r>
        <w:rPr/>
        <w:t xml:space="preserve">(iii) The increase or decrease in the volume of legal cannabis sold prior to and after any cannabis tax change;</w:t>
      </w:r>
    </w:p>
    <w:p>
      <w:pPr>
        <w:spacing w:before="0" w:after="0" w:line="408" w:lineRule="exact"/>
        <w:ind w:left="0" w:right="0" w:firstLine="576"/>
        <w:jc w:val="left"/>
      </w:pPr>
      <w:r>
        <w:rPr/>
        <w:t xml:space="preserve">(iv) Increases or decreases in the number of licensed cannabis producers, processors, and retailers;</w:t>
      </w:r>
    </w:p>
    <w:p>
      <w:pPr>
        <w:spacing w:before="0" w:after="0" w:line="408" w:lineRule="exact"/>
        <w:ind w:left="0" w:right="0" w:firstLine="576"/>
        <w:jc w:val="left"/>
      </w:pPr>
      <w:r>
        <w:rPr/>
        <w:t xml:space="preserve">(v) The number of illegal and noncompliant cannabis outlets the board requires to be closed;</w:t>
      </w:r>
    </w:p>
    <w:p>
      <w:pPr>
        <w:spacing w:before="0" w:after="0" w:line="408" w:lineRule="exact"/>
        <w:ind w:left="0" w:right="0" w:firstLine="576"/>
        <w:jc w:val="left"/>
      </w:pPr>
      <w:r>
        <w:rPr/>
        <w:t xml:space="preserve">(vi) Gross cannabis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2022 c 16 s 75 are each amended to read as follows:</w:t>
      </w:r>
    </w:p>
    <w:p>
      <w:pPr>
        <w:spacing w:before="0" w:after="0" w:line="408" w:lineRule="exact"/>
        <w:ind w:left="0" w:right="0" w:firstLine="576"/>
        <w:jc w:val="left"/>
      </w:pPr>
      <w:r>
        <w:rPr/>
        <w:t xml:space="preserve">(1)</w:t>
      </w:r>
      <w:r>
        <w:rPr>
          <w:u w:val="single"/>
        </w:rPr>
        <w:t xml:space="preserve">(a)</w:t>
      </w:r>
      <w:r>
        <w:rPr/>
        <w:t xml:space="preserve"> No licensed cannabis producer, processor, researcher, or retailer may place or maintain, or cause to be placed or maintained, any sign or other advertisement for a cannabis business or cannabis product, including useable cannabis, cannabis concentrates, or cannabis-infused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u w:val="single"/>
        </w:rPr>
        <w:t xml:space="preserve">(b)(i) No person including, but not limited to, a cannabis producer, processor, researcher, transporter, or retailer may place, maintain, or distribute, or cause to be placed, maintained, or distributed, any advertisement or marketing material, in any form or through any medium whatsoever, for a product that contains greater than 35 percent total tetrahydrocannabinol.</w:t>
      </w:r>
    </w:p>
    <w:p>
      <w:pPr>
        <w:spacing w:before="0" w:after="0" w:line="408" w:lineRule="exact"/>
        <w:ind w:left="0" w:right="0" w:firstLine="576"/>
        <w:jc w:val="left"/>
      </w:pPr>
      <w:r>
        <w:rPr>
          <w:u w:val="single"/>
        </w:rPr>
        <w:t xml:space="preserve">(ii) The prohibition in this subsection (1)(b) applies to all forms of marketing and advertising including but not limited to marketing or advertising on web pages, social media, point-of-sale materials in retail outlets, radio, television, email, text messages, flyers, event promotion signs, mail, signs, billboards, and all other forms of advertising or marketing.</w:t>
      </w:r>
    </w:p>
    <w:p>
      <w:pPr>
        <w:spacing w:before="0" w:after="0" w:line="408" w:lineRule="exact"/>
        <w:ind w:left="0" w:right="0" w:firstLine="576"/>
        <w:jc w:val="left"/>
      </w:pPr>
      <w:r>
        <w:rPr>
          <w:u w:val="single"/>
        </w:rPr>
        <w:t xml:space="preserve">(iii) For purposes of this subsection (1)(b), the term "percent total tetrahydrocannabinol" means percent of tetrahydrocannabinol content, including any hydrogenated or structural isomer forms of THC, of any part of the plant </w:t>
      </w:r>
      <w:r>
        <w:rPr>
          <w:i/>
          <w:u w:val="single"/>
        </w:rPr>
        <w:t xml:space="preserve">Cannabis</w:t>
      </w:r>
      <w:r>
        <w:rPr>
          <w:u w:val="single"/>
        </w:rPr>
        <w:t xml:space="preserve">, or per volume or weight of cannabis product, or the combined percent of tetrahydrocannabinol and tetrahydrocannabinolic acid in any part of the plant </w:t>
      </w:r>
      <w:r>
        <w:rPr>
          <w:i/>
          <w:u w:val="single"/>
        </w:rPr>
        <w:t xml:space="preserve">Cannabis</w:t>
      </w:r>
      <w:r>
        <w:rPr>
          <w:u w:val="single"/>
        </w:rPr>
        <w:t xml:space="preserve"> regardless of moisture content.</w:t>
      </w:r>
    </w:p>
    <w:p>
      <w:pPr>
        <w:spacing w:before="0" w:after="0" w:line="408" w:lineRule="exact"/>
        <w:ind w:left="0" w:right="0" w:firstLine="576"/>
        <w:jc w:val="left"/>
      </w:pPr>
      <w:r>
        <w:rPr/>
        <w:t xml:space="preserve">(2) Except for the use of billboards as authorized under this section, licensed cannabis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cannabis signs authorized under this subsection are subject to all other requirements and restrictions established in this section for indoor signs, outdoor signs, and other cannabis-related advertising methods.</w:t>
      </w:r>
    </w:p>
    <w:p>
      <w:pPr>
        <w:spacing w:before="0" w:after="0" w:line="408" w:lineRule="exact"/>
        <w:ind w:left="0" w:right="0" w:firstLine="576"/>
        <w:jc w:val="left"/>
      </w:pPr>
      <w:r>
        <w:rPr/>
        <w:t xml:space="preserve">(3) A cannabis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cannabis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cannabis businesses or cannabis products must contain text stating that cannabis products may be purchased or possessed only by persons twenty-one years of age or older.</w:t>
      </w:r>
    </w:p>
    <w:p>
      <w:pPr>
        <w:spacing w:before="0" w:after="0" w:line="408" w:lineRule="exact"/>
        <w:ind w:left="0" w:right="0" w:firstLine="576"/>
        <w:jc w:val="left"/>
      </w:pPr>
      <w:r>
        <w:rPr/>
        <w:t xml:space="preserve">(6) A cannabis licensee may not:</w:t>
      </w:r>
    </w:p>
    <w:p>
      <w:pPr>
        <w:spacing w:before="0" w:after="0" w:line="408" w:lineRule="exact"/>
        <w:ind w:left="0" w:right="0" w:firstLine="576"/>
        <w:jc w:val="left"/>
      </w:pPr>
      <w:r>
        <w:rPr/>
        <w:t xml:space="preserve">(a) Take any action, directly or indirectly, to target youth in the advertising, promotion, or marketing of cannabis and cannabis products, or take any action the primary purpose of which is to initiate, maintain, or increase the incidence of youth use of cannabis or cannabis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cannabis products; or</w:t>
      </w:r>
    </w:p>
    <w:p>
      <w:pPr>
        <w:spacing w:before="0" w:after="0" w:line="408" w:lineRule="exact"/>
        <w:ind w:left="0" w:right="0" w:firstLine="576"/>
        <w:jc w:val="left"/>
      </w:pPr>
      <w:r>
        <w:rPr/>
        <w:t xml:space="preserve">(c) Use or employ a commercial mascot outside of, and in proximity to, a licensed cannabis business. A "commercial mascot" means live human being, animal, or mechanical device used for attracting the attention of motorists and passersby so as to make them aware of cannabis products or the presence of a cannabis business. Commercial mascots include, but are not limited to, inflatable tube displays, persons in costume, or wearing, holding, or spinning a sign with a cannabis-related commercial message or image, where the intent is to draw attention to a cannabis business or its products.</w:t>
      </w:r>
    </w:p>
    <w:p>
      <w:pPr>
        <w:spacing w:before="0" w:after="0" w:line="408" w:lineRule="exact"/>
        <w:ind w:left="0" w:right="0" w:firstLine="576"/>
        <w:jc w:val="left"/>
      </w:pPr>
      <w:r>
        <w:rPr/>
        <w:t xml:space="preserve">(7) A cannabis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cannabis plants, cannabis products, or images that might be appealing to children. The board is granted rule-making authority to regulate the text and images that are permissible on outdoor advertising. Such rule making must be consistent with other administrative rules generally applicable to the advertising of cannabis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cannabis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cannabis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cannabis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board adopts rules prescribing penalties for violations of this section. The rules must establish escalating penalties including fines and up to suspension or revocation of a cannabis license for subsequent violations.</w:t>
      </w:r>
    </w:p>
    <w:p>
      <w:pPr>
        <w:spacing w:before="0" w:after="0" w:line="408" w:lineRule="exact"/>
        <w:ind w:left="0" w:right="0" w:firstLine="576"/>
        <w:jc w:val="left"/>
      </w:pPr>
      <w:r>
        <w:rPr/>
        <w:t xml:space="preserve">(b) Fines collected under this subsection must be deposited into the dedicated cannabis account created under RCW 69.50.530.</w:t>
      </w:r>
    </w:p>
    <w:p>
      <w:pPr>
        <w:spacing w:before="0" w:after="0" w:line="408" w:lineRule="exact"/>
        <w:ind w:left="0" w:right="0" w:firstLine="576"/>
        <w:jc w:val="left"/>
      </w:pPr>
      <w:r>
        <w:rPr/>
        <w:t xml:space="preserve">(11) A city, town, or county may adopt rules of outdoor advertising by licensed cannabis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2022 c 16 s 71 are each amended to read as follows:</w:t>
      </w:r>
    </w:p>
    <w:p>
      <w:pPr>
        <w:spacing w:before="0" w:after="0" w:line="408" w:lineRule="exact"/>
        <w:ind w:left="0" w:right="0" w:firstLine="576"/>
        <w:jc w:val="left"/>
      </w:pPr>
      <w:r>
        <w:rPr/>
        <w:t xml:space="preserve">(1)(a) Retail outlets may not sell products or services other than cannabis concentrates, useable cannabis, cannabis-infused products, or paraphernalia intended for the storage or use of cannabis concentrates, useable cannabis, or cannabis-infused products.</w:t>
      </w:r>
    </w:p>
    <w:p>
      <w:pPr>
        <w:spacing w:before="0" w:after="0" w:line="408" w:lineRule="exact"/>
        <w:ind w:left="0" w:right="0" w:firstLine="576"/>
        <w:jc w:val="left"/>
      </w:pPr>
      <w:r>
        <w:rPr/>
        <w:t xml:space="preserve">(b)(i) Retail outlets may receive lockable boxes, intended for the secure storage of cannabis products and paraphernalia, and related literature as a donation from another person or entity, that is not a cannabis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cannabis products under subsection (2) of this section. Retail outlets may not use the donation of lockable boxes or literature as an incentive or as a condition of a recipient's purchase of a cannabis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u w:val="single"/>
        </w:rPr>
        <w:t xml:space="preserve">(c)(i) Retail outlets may not sell a cannabis product with greater than 35 percent total tetrahydrocannabinol to a person who is under age 25 who is not a qualifying patient or designated provider.</w:t>
      </w:r>
    </w:p>
    <w:p>
      <w:pPr>
        <w:spacing w:before="0" w:after="0" w:line="408" w:lineRule="exact"/>
        <w:ind w:left="0" w:right="0" w:firstLine="576"/>
        <w:jc w:val="left"/>
      </w:pPr>
      <w:r>
        <w:rPr>
          <w:u w:val="single"/>
        </w:rPr>
        <w:t xml:space="preserve">(ii) For purposes of this subsection (1)(c), the term "percent total tetrahydrocannabinol" means percent of tetrahydrocannabinol content, including any hydrogenated or structural isomer forms of THC, of any part of the plant </w:t>
      </w:r>
      <w:r>
        <w:rPr>
          <w:i/>
          <w:u w:val="single"/>
        </w:rPr>
        <w:t xml:space="preserve">Cannabis</w:t>
      </w:r>
      <w:r>
        <w:rPr>
          <w:u w:val="single"/>
        </w:rPr>
        <w:t xml:space="preserve">, or per volume or weight of cannabis product, or the combined percent of tetrahydrocannabinol and tetrahydrocannabinolic acid in any part of the plant </w:t>
      </w:r>
      <w:r>
        <w:rPr>
          <w:i/>
          <w:u w:val="single"/>
        </w:rPr>
        <w:t xml:space="preserve">Cannabis</w:t>
      </w:r>
      <w:r>
        <w:rPr>
          <w:u w:val="single"/>
        </w:rPr>
        <w:t xml:space="preserve"> regardless of moisture content.</w:t>
      </w:r>
    </w:p>
    <w:p>
      <w:pPr>
        <w:spacing w:before="0" w:after="0" w:line="408" w:lineRule="exact"/>
        <w:ind w:left="0" w:right="0" w:firstLine="576"/>
        <w:jc w:val="left"/>
      </w:pPr>
      <w:r>
        <w:rPr>
          <w:u w:val="single"/>
        </w:rPr>
        <w:t xml:space="preserve">(iii) Violations of this subsection (1)(c) are subject to the following penalties:</w:t>
      </w:r>
    </w:p>
    <w:p>
      <w:pPr>
        <w:spacing w:before="0" w:after="0" w:line="408" w:lineRule="exact"/>
        <w:ind w:left="0" w:right="0" w:firstLine="576"/>
        <w:jc w:val="left"/>
      </w:pPr>
      <w:r>
        <w:rPr>
          <w:u w:val="single"/>
        </w:rPr>
        <w:t xml:space="preserve">(A) A five-day suspension or $500 penalty for a first violation;</w:t>
      </w:r>
    </w:p>
    <w:p>
      <w:pPr>
        <w:spacing w:before="0" w:after="0" w:line="408" w:lineRule="exact"/>
        <w:ind w:left="0" w:right="0" w:firstLine="576"/>
        <w:jc w:val="left"/>
      </w:pPr>
      <w:r>
        <w:rPr>
          <w:u w:val="single"/>
        </w:rPr>
        <w:t xml:space="preserve">(B) A seven-day suspension for a second violation during a two-year period;</w:t>
      </w:r>
    </w:p>
    <w:p>
      <w:pPr>
        <w:spacing w:before="0" w:after="0" w:line="408" w:lineRule="exact"/>
        <w:ind w:left="0" w:right="0" w:firstLine="576"/>
        <w:jc w:val="left"/>
      </w:pPr>
      <w:r>
        <w:rPr>
          <w:u w:val="single"/>
        </w:rPr>
        <w:t xml:space="preserve">(C) A 30-day suspension for a third violation in a two-year period; and</w:t>
      </w:r>
    </w:p>
    <w:p>
      <w:pPr>
        <w:spacing w:before="0" w:after="0" w:line="408" w:lineRule="exact"/>
        <w:ind w:left="0" w:right="0" w:firstLine="576"/>
        <w:jc w:val="left"/>
      </w:pPr>
      <w:r>
        <w:rPr>
          <w:u w:val="single"/>
        </w:rPr>
        <w:t xml:space="preserve">(D) Cancellation of license for a fourth violation in a two-year period.</w:t>
      </w:r>
    </w:p>
    <w:p>
      <w:pPr>
        <w:spacing w:before="0" w:after="0" w:line="408" w:lineRule="exact"/>
        <w:ind w:left="0" w:right="0" w:firstLine="576"/>
        <w:jc w:val="left"/>
      </w:pPr>
      <w:r>
        <w:rPr/>
        <w:t xml:space="preserve">(2) Licensed cannabis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cannabis endorsement and may purchase products for their personal medical use. Qualifying patients who are under the age of eighteen with a recognition card and who accompany their designated providers may enter and remain on the premises of a retail outlet holding a medical cannabis endorsement, but may not purchase products for their personal medical use.</w:t>
      </w:r>
    </w:p>
    <w:p>
      <w:pPr>
        <w:spacing w:before="0" w:after="0" w:line="408" w:lineRule="exact"/>
        <w:ind w:left="0" w:right="0" w:firstLine="576"/>
        <w:jc w:val="left"/>
      </w:pPr>
      <w:r>
        <w:rPr/>
        <w:t xml:space="preserve">(3)(a) Licensed cannabis retailers must ensure that all employees are trained on the rules adopted to implement this chapter, identification of persons under the age of twenty-one, and other requirements adopted by the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cannabis retailers with a medical cannabis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cannabis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board, no licensed cannabis retailer or employee of a retail outlet may open or consume, or allow to be opened or consumed, any cannabis concentrates, useable cannabis, or cannabis-infused product on the outlet premises.</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(a) Cannabis retailers must provide point-of-sale information to consumers who purchase any cannabis products, except for useable cannabis, that must include accurate information about the potential harms of consuming high-THC products, including cannabis use disorder, psychotic disorders, and cannabinoid hyperemesis syndrome, populations at elevated risk of experiencing such potential harms, comparative dosing, how to read a label on a cannabis product, where to find help if the consumer feels negative effects, and resources for quitting or reducing cannabis consumption.</w:t>
      </w:r>
    </w:p>
    <w:p>
      <w:pPr>
        <w:spacing w:before="0" w:after="0" w:line="408" w:lineRule="exact"/>
        <w:ind w:left="0" w:right="0" w:firstLine="576"/>
        <w:jc w:val="left"/>
      </w:pPr>
      <w:r>
        <w:rPr>
          <w:u w:val="single"/>
        </w:rPr>
        <w:t xml:space="preserve">(b) The board must develop optional training for cannabis retail staff who want to better understand the point-of-sale information required to be provided to consumers by this subsection (5). In developing the optional training, the board must consult with cannabis retail staff, consumers, persons who have been harmed from high-THC products, prevention professionals, behavioral health treatment providers, and youth advocates.</w:t>
      </w:r>
    </w:p>
    <w:p>
      <w:pPr>
        <w:spacing w:before="0" w:after="0" w:line="408" w:lineRule="exact"/>
        <w:ind w:left="0" w:right="0" w:firstLine="576"/>
        <w:jc w:val="left"/>
      </w:pPr>
      <w:r>
        <w:rPr>
          <w:u w:val="single"/>
        </w:rPr>
        <w:t xml:space="preserve">(6) Except for subsection (1)(c) of this section, the</w:t>
      </w:r>
      <w:r>
        <w:rPr/>
        <w:t xml:space="preserve"> board must fine a licensee one thousand dollars for each violation of any subsection of this section. Fines collected under this section must be deposited into the dedicated cannabis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2022 c 16 s 66 are each amended to read as follows:</w:t>
      </w:r>
    </w:p>
    <w:p>
      <w:pPr>
        <w:spacing w:before="0" w:after="0" w:line="408" w:lineRule="exact"/>
        <w:ind w:left="0" w:right="0" w:firstLine="576"/>
        <w:jc w:val="left"/>
      </w:pPr>
      <w:r>
        <w:rPr/>
        <w:t xml:space="preserve">(1) The label on a cannabis product container, including cannabis concentrates, useable cannabis, or cannabis-infused products, sold at retail must include:</w:t>
      </w:r>
    </w:p>
    <w:p>
      <w:pPr>
        <w:spacing w:before="0" w:after="0" w:line="408" w:lineRule="exact"/>
        <w:ind w:left="0" w:right="0" w:firstLine="576"/>
        <w:jc w:val="left"/>
      </w:pPr>
      <w:r>
        <w:rPr/>
        <w:t xml:space="preserve">(a) The business or trade name and Washington state unified business identifier number of the cannabis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Medically and scientifically accurate and reliable information about the health and safety risks posed by cannabis use;</w:t>
      </w:r>
    </w:p>
    <w:p>
      <w:pPr>
        <w:spacing w:before="0" w:after="0" w:line="408" w:lineRule="exact"/>
        <w:ind w:left="0" w:right="0" w:firstLine="576"/>
        <w:jc w:val="left"/>
      </w:pPr>
      <w:r>
        <w:rPr/>
        <w:t xml:space="preserve">(e) Language required by RCW 69.04.480; and</w:t>
      </w:r>
    </w:p>
    <w:p>
      <w:pPr>
        <w:spacing w:before="0" w:after="0" w:line="408" w:lineRule="exact"/>
        <w:ind w:left="0" w:right="0" w:firstLine="576"/>
        <w:jc w:val="left"/>
      </w:pPr>
      <w:r>
        <w:rPr/>
        <w:t xml:space="preserve">(f)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cannabis products that have been identified by the department in rules adopted under RCW 69.50.375(4) in chapter 246-70 WAC as being a compliant cannabis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cannabis retailer selling the cannabis product.</w:t>
      </w:r>
    </w:p>
    <w:p>
      <w:pPr>
        <w:spacing w:before="0" w:after="0" w:line="408" w:lineRule="exact"/>
        <w:ind w:left="0" w:right="0" w:firstLine="576"/>
        <w:jc w:val="left"/>
      </w:pPr>
      <w:r>
        <w:rPr/>
        <w:t xml:space="preserve">(5) A cannabis product is not in violation of any Washington state law or rule of the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cannabis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board, any other state agency, officer, employee, or agent based on a cannabis licensee's description of a structure or function claim or the product's intended role under subsection (2) of this section.</w:t>
      </w:r>
    </w:p>
    <w:p>
      <w:pPr>
        <w:spacing w:before="0" w:after="0" w:line="408" w:lineRule="exact"/>
        <w:ind w:left="0" w:right="0" w:firstLine="576"/>
        <w:jc w:val="left"/>
      </w:pPr>
      <w:r>
        <w:rPr/>
        <w:t xml:space="preserve">(7)</w:t>
      </w:r>
      <w:r>
        <w:rPr>
          <w:u w:val="single"/>
        </w:rPr>
        <w:t xml:space="preserve">(a) A cannabis product that contains greater than 35 percent total tetrahydrocannabinol must include a mandatory health warning label on the product container, in addition to other label information required under this chapter. The mandatory health warning label must be in a font size no smaller than 10-point font, use contrasting colors, and be placed in a prominent location that occupies at least 40 percent of the product container.</w:t>
      </w:r>
    </w:p>
    <w:p>
      <w:pPr>
        <w:spacing w:before="0" w:after="0" w:line="408" w:lineRule="exact"/>
        <w:ind w:left="0" w:right="0" w:firstLine="576"/>
        <w:jc w:val="left"/>
      </w:pPr>
      <w:r>
        <w:rPr>
          <w:u w:val="single"/>
        </w:rPr>
        <w:t xml:space="preserve">(b) The University of Washington's addictions, drug and alcohol institute in consultation with the board and persons with expertise in public health must develop the content of the mandatory health warning label required under this subsection (7). The content must be tested for comprehension and clarity among persons between the ages of 21 and 24 years old, persons reporting mental health challenges, and persons who identify with historically marginalized groups. The content must include language enumerating the risks associated with the use of high-THC cannabis products such as acute psychotic symptoms, development of psychotic disorders, cannabinoid hyperemesis syndrome, and cannabis use disorder.</w:t>
      </w:r>
    </w:p>
    <w:p>
      <w:pPr>
        <w:spacing w:before="0" w:after="0" w:line="408" w:lineRule="exact"/>
        <w:ind w:left="0" w:right="0" w:firstLine="576"/>
        <w:jc w:val="left"/>
      </w:pPr>
      <w:r>
        <w:rPr>
          <w:u w:val="single"/>
        </w:rPr>
        <w:t xml:space="preserve">(c) For purposes of this subsection (7) and subsection (8) of this section, the term "total tetrahydrocannabinol" means the percent of tetrahydrocannabinol content, including any hydrogenated or structural isomer forms of THC, of any part of the plant </w:t>
      </w:r>
      <w:r>
        <w:rPr>
          <w:i/>
          <w:u w:val="single"/>
        </w:rPr>
        <w:t xml:space="preserve">Cannabis</w:t>
      </w:r>
      <w:r>
        <w:rPr>
          <w:u w:val="single"/>
        </w:rPr>
        <w:t xml:space="preserve">, or per volume or weight of cannabis product, or the combined percent of tetrahydrocannabinol and tetrahydrocannabinolic acid in any part of the plant </w:t>
      </w:r>
      <w:r>
        <w:rPr>
          <w:i/>
          <w:u w:val="single"/>
        </w:rPr>
        <w:t xml:space="preserve">Cannabis</w:t>
      </w:r>
      <w:r>
        <w:rPr>
          <w:u w:val="single"/>
        </w:rPr>
        <w:t xml:space="preserve"> regardless of moisture content.</w:t>
      </w:r>
    </w:p>
    <w:p>
      <w:pPr>
        <w:spacing w:before="0" w:after="0" w:line="408" w:lineRule="exact"/>
        <w:ind w:left="0" w:right="0" w:firstLine="576"/>
        <w:jc w:val="left"/>
      </w:pPr>
      <w:r>
        <w:rPr>
          <w:u w:val="single"/>
        </w:rPr>
        <w:t xml:space="preserve">(8) All cannabis products offered or sold to a consumer must be labeled with the number of serving units of tetrahydrocannabinol included in the package. A single serving unit of tetrahydrocannabinol is 10 milligrams of total tetrahydrocannabinol for purposes of this section. A cannabis product offered or sold in a package that contains more than a single serving unit of tetrahydrocannabinol must be labeled with text stating "CONTAINS MULTIPLE SERVINGS" and identify the number of total serving units in the container. Label information required by this subsection must be displayed on the cannabis product container in black ink with a white background and in a minimum font size of 10-point font.</w:t>
      </w:r>
    </w:p>
    <w:p>
      <w:pPr>
        <w:spacing w:before="0" w:after="0" w:line="408" w:lineRule="exact"/>
        <w:ind w:left="0" w:right="0" w:firstLine="576"/>
        <w:jc w:val="left"/>
      </w:pPr>
      <w:r>
        <w:rPr>
          <w:u w:val="single"/>
        </w:rPr>
        <w:t xml:space="preserve">(9) In addition to other labeling requirements in this chapter, all cannabis products offered or sold to a consumer must be labeled with an expression of a standard tetrahydrocannabinol unit in volume or amount of product to help a consumer understand or visualize how much of the product to consume for a single serving unit of tetrahydrocannabinol. The board must establish permissible text or images that cannabis licensees may include on product packages to comply with this subsection. By way of example, a permissible expression of a standard tetrahydrocannabinol unit in volume or amount of product for a cannabis product intended to be consumed by inhalation could specify that a serving size should not exceed one inhalation lasting two seconds per serving.</w:t>
      </w:r>
    </w:p>
    <w:p>
      <w:pPr>
        <w:spacing w:before="0" w:after="0" w:line="408" w:lineRule="exact"/>
        <w:ind w:left="0" w:right="0" w:firstLine="576"/>
        <w:jc w:val="left"/>
      </w:pPr>
      <w:r>
        <w:rPr>
          <w:u w:val="single"/>
        </w:rPr>
        <w:t xml:space="preserve">(10)</w:t>
      </w:r>
      <w:r>
        <w:rPr/>
        <w:t xml:space="preserve">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2022 c 169 s 2 and 2022 c 16 s 102 are each reenacted and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w:t>
      </w:r>
      <w:r>
        <w:t>((</w:t>
      </w:r>
      <w:r>
        <w:rPr>
          <w:strike/>
        </w:rPr>
        <w:t xml:space="preserve">and</w:t>
      </w:r>
      <w:r>
        <w:t>))</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r>
        <w:rPr>
          <w:u w:val="single"/>
        </w:rPr>
        <w:t xml:space="preserve">; and</w:t>
      </w:r>
    </w:p>
    <w:p>
      <w:pPr>
        <w:spacing w:before="0" w:after="0" w:line="408" w:lineRule="exact"/>
        <w:ind w:left="0" w:right="0" w:firstLine="576"/>
        <w:jc w:val="left"/>
      </w:pPr>
      <w:r>
        <w:rPr>
          <w:u w:val="single"/>
        </w:rPr>
        <w:t xml:space="preserve">(l) $1,000,000 annually to the department of health to issue requests for proposals and contract for targeted public health messages and social marketing campaigns directed toward individuals most likely to suffer negative impacts of high-THC products including persons under 25 years of age, persons reporting poor mental health, and persons living with mental health disorders. Messages and media campaigns funded through this subsection must include information about risks, comparative dosing of cannabis products, and resources for persons seeking support for quitting or decreasing their intake of tetrahydrocannabinol. The content of public health messages and social marketing campaigns must be developed in partnership with persons targeted by the messages and campaigns and in consultation with professionals proficient in public health communication and in cannabis research</w:t>
      </w:r>
      <w:r>
        <w:rPr/>
        <w:t xml:space="preserve">.</w:t>
      </w:r>
    </w:p>
    <w:p>
      <w:pPr>
        <w:spacing w:before="0" w:after="0" w:line="408" w:lineRule="exact"/>
        <w:ind w:left="0" w:right="0" w:firstLine="576"/>
        <w:jc w:val="left"/>
      </w:pPr>
      <w:r>
        <w:rPr/>
        <w:t xml:space="preserve">(2) Subsection</w:t>
      </w:r>
      <w:r>
        <w:t>((</w:t>
      </w:r>
      <w:r>
        <w:rPr>
          <w:strike/>
        </w:rPr>
        <w:t xml:space="preserve">s</w:t>
      </w:r>
      <w:r>
        <w:t>))</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e686c0af1c043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040fc33034828" /><Relationship Type="http://schemas.openxmlformats.org/officeDocument/2006/relationships/footer" Target="/word/footer1.xml" Id="R8e686c0af1c0434f" /></Relationships>
</file>