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67efb4f744540" /></Relationships>
</file>

<file path=word/document.xml><?xml version="1.0" encoding="utf-8"?>
<w:document xmlns:w="http://schemas.openxmlformats.org/wordprocessingml/2006/main">
  <w:body>
    <w:p>
      <w:r>
        <w:t>H-0596.2</w:t>
      </w:r>
    </w:p>
    <w:p>
      <w:pPr>
        <w:jc w:val="center"/>
      </w:pPr>
      <w:r>
        <w:t>_______________________________________________</w:t>
      </w:r>
    </w:p>
    <w:p/>
    <w:p>
      <w:pPr>
        <w:jc w:val="center"/>
      </w:pPr>
      <w:r>
        <w:rPr>
          <w:b/>
        </w:rPr>
        <w:t>HOUSE BILL 1665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Santos, and Pollet</w:t>
      </w:r>
    </w:p>
    <w:p/>
    <w:p>
      <w:r>
        <w:rPr>
          <w:t xml:space="preserve">Read first time 01/30/23.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pharmacists to treat certain conditions; amending RCW 18.64.011; adding a new section to chapter 18.64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w:t>
      </w:r>
      <w:r>
        <w:rPr>
          <w:u w:val="single"/>
        </w:rPr>
        <w:t xml:space="preserve">ordering, administering, reviewing, or interpreting tests authorized or approved by the food and drug administration and waived under the federal clinical laboratory improvement amendments of 1988 and initiating or modifying of drug therapy for health conditions in accordance with section 2 of this act;</w:t>
      </w:r>
      <w:r>
        <w:rPr/>
        <w:t xml:space="preserve"> the initiating or modifying of drug therapy </w:t>
      </w:r>
      <w:r>
        <w:rPr>
          <w:u w:val="single"/>
        </w:rPr>
        <w:t xml:space="preserve">for health conditions not included in section 2 of this act</w:t>
      </w:r>
      <w:r>
        <w:rPr/>
        <w:t xml:space="preserve"> in accordance with written guidelines or protocols previously established and approved for his or her practice by a practitioner authorized to prescribe drugs;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 pharmacist may initiate and administer treatment for certain health conditions. For purposes of this section, a health condition is typically a short-term health condition that is generally managed with noncontrolled drug therapies, minimal treatment, or self-care and includes the following:</w:t>
      </w:r>
    </w:p>
    <w:p>
      <w:pPr>
        <w:spacing w:before="0" w:after="0" w:line="408" w:lineRule="exact"/>
        <w:ind w:left="0" w:right="0" w:firstLine="576"/>
        <w:jc w:val="left"/>
      </w:pPr>
      <w:r>
        <w:rPr/>
        <w:t xml:space="preserve">(a) Influenza;</w:t>
      </w:r>
    </w:p>
    <w:p>
      <w:pPr>
        <w:spacing w:before="0" w:after="0" w:line="408" w:lineRule="exact"/>
        <w:ind w:left="0" w:right="0" w:firstLine="576"/>
        <w:jc w:val="left"/>
      </w:pPr>
      <w:r>
        <w:rPr/>
        <w:t xml:space="preserve">(b) Streptococcus;</w:t>
      </w:r>
    </w:p>
    <w:p>
      <w:pPr>
        <w:spacing w:before="0" w:after="0" w:line="408" w:lineRule="exact"/>
        <w:ind w:left="0" w:right="0" w:firstLine="576"/>
        <w:jc w:val="left"/>
      </w:pPr>
      <w:r>
        <w:rPr/>
        <w:t xml:space="preserve">(c) SARS-CoV-2 or other respiratory illness, condition, or disease;</w:t>
      </w:r>
    </w:p>
    <w:p>
      <w:pPr>
        <w:spacing w:before="0" w:after="0" w:line="408" w:lineRule="exact"/>
        <w:ind w:left="0" w:right="0" w:firstLine="576"/>
        <w:jc w:val="left"/>
      </w:pPr>
      <w:r>
        <w:rPr/>
        <w:t xml:space="preserve">(d) Lice;</w:t>
      </w:r>
    </w:p>
    <w:p>
      <w:pPr>
        <w:spacing w:before="0" w:after="0" w:line="408" w:lineRule="exact"/>
        <w:ind w:left="0" w:right="0" w:firstLine="576"/>
        <w:jc w:val="left"/>
      </w:pPr>
      <w:r>
        <w:rPr/>
        <w:t xml:space="preserve">(e) Urinary tract infection;</w:t>
      </w:r>
    </w:p>
    <w:p>
      <w:pPr>
        <w:spacing w:before="0" w:after="0" w:line="408" w:lineRule="exact"/>
        <w:ind w:left="0" w:right="0" w:firstLine="576"/>
        <w:jc w:val="left"/>
      </w:pPr>
      <w:r>
        <w:rPr/>
        <w:t xml:space="preserve">(f) Skin conditions, such as ringworm and athlete's foot;</w:t>
      </w:r>
    </w:p>
    <w:p>
      <w:pPr>
        <w:spacing w:before="0" w:after="0" w:line="408" w:lineRule="exact"/>
        <w:ind w:left="0" w:right="0" w:firstLine="576"/>
        <w:jc w:val="left"/>
      </w:pPr>
      <w:r>
        <w:rPr/>
        <w:t xml:space="preserve">(g) Other emerging and existing public health threats identified by the Washington state department of health if permitted by an order, rule, or regulation; and</w:t>
      </w:r>
    </w:p>
    <w:p>
      <w:pPr>
        <w:spacing w:before="0" w:after="0" w:line="408" w:lineRule="exact"/>
        <w:ind w:left="0" w:right="0" w:firstLine="576"/>
        <w:jc w:val="left"/>
      </w:pPr>
      <w:r>
        <w:rPr/>
        <w:t xml:space="preserve">(h) Other health conditions that can be screened utilizing the waived test under the clinical laboratory improvement amendments of 1988, that may be adopted by rule of the pharmacy quality assurance commission.</w:t>
      </w:r>
    </w:p>
    <w:p>
      <w:pPr>
        <w:spacing w:before="0" w:after="0" w:line="408" w:lineRule="exact"/>
        <w:ind w:left="0" w:right="0" w:firstLine="576"/>
        <w:jc w:val="left"/>
      </w:pPr>
      <w:r>
        <w:rPr/>
        <w:t xml:space="preserve">(2) A pharmacist who administers the treatment for health conditions under this section may use any test that may guide clinical decision making which the centers for medicare and medicaid services has determined qualifies for a waiver under the federal clinical laboratory improvement amendments of 1988, or the federal rules adopted thereunder, or any established screening procedures that can safely be performed by a pharmacist.</w:t>
      </w:r>
    </w:p>
    <w:p>
      <w:pPr>
        <w:spacing w:before="0" w:after="0" w:line="408" w:lineRule="exact"/>
        <w:ind w:left="0" w:right="0" w:firstLine="576"/>
        <w:jc w:val="left"/>
      </w:pPr>
      <w:r>
        <w:rPr/>
        <w:t xml:space="preserve">(3) A pharmacist may delegate the administering or performing of a clinical laboratory improvement amendments of 1988 waived test to an intern or pharmacy technician acting under the supervision of the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a042521511e48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0a1b957354140" /><Relationship Type="http://schemas.openxmlformats.org/officeDocument/2006/relationships/footer" Target="/word/footer1.xml" Id="R6a042521511e48b0" /></Relationships>
</file>