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83f49c34394009" /></Relationships>
</file>

<file path=word/document.xml><?xml version="1.0" encoding="utf-8"?>
<w:document xmlns:w="http://schemas.openxmlformats.org/wordprocessingml/2006/main">
  <w:body>
    <w:p>
      <w:r>
        <w:t>H-0858.1</w:t>
      </w:r>
    </w:p>
    <w:p>
      <w:pPr>
        <w:jc w:val="center"/>
      </w:pPr>
      <w:r>
        <w:t>_______________________________________________</w:t>
      </w:r>
    </w:p>
    <w:p/>
    <w:p>
      <w:pPr>
        <w:jc w:val="center"/>
      </w:pPr>
      <w:r>
        <w:rPr>
          <w:b/>
        </w:rPr>
        <w:t>HOUSE BILL 1668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Donaghy, Low, Reeves, Ramel, Chambers, Bronoske, Eslick, Chapman, Macri, Schmidt, Kloba, Robertson, Hutchins, Davis, and Ryu</w:t>
      </w:r>
    </w:p>
    <w:p/>
    <w:p>
      <w:r>
        <w:rPr>
          <w:t xml:space="preserve">Read first time 01/30/23.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restitution for surviving minor children of deceased victims of vehicular homicide; and amending RCW 9.94A.753.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2022 c 260 s 3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180 days except as provided in subsection </w:t>
      </w:r>
      <w:r>
        <w:t>((</w:t>
      </w:r>
      <w:r>
        <w:rPr>
          <w:strike/>
        </w:rPr>
        <w:t xml:space="preserve">(7)</w:t>
      </w:r>
      <w:r>
        <w:t>))</w:t>
      </w:r>
      <w:r>
        <w:rPr/>
        <w:t xml:space="preserve"> </w:t>
      </w:r>
      <w:r>
        <w:rPr>
          <w:u w:val="single"/>
        </w:rPr>
        <w:t xml:space="preserve">(8)</w:t>
      </w:r>
      <w:r>
        <w:rPr/>
        <w:t xml:space="preserve"> of this section. The court may continue the hearing beyond the 180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(3)(a) Except as provided in subsection</w:t>
      </w:r>
      <w:r>
        <w:rPr>
          <w:u w:val="single"/>
        </w:rPr>
        <w:t xml:space="preserve">s</w:t>
      </w:r>
      <w:r>
        <w:rPr/>
        <w:t xml:space="preserve"> (6) </w:t>
      </w:r>
      <w:r>
        <w:rPr>
          <w:u w:val="single"/>
        </w:rPr>
        <w:t xml:space="preserve">and (7)</w:t>
      </w:r>
      <w:r>
        <w:rPr/>
        <w:t xml:space="preserve">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10 years following the offender's release from total confinement or 10 years subsequent to the entry of the judgment and sentence, whichever period ends later. Prior to the expiration of the initial 10-year period, the superior court may extend jurisdiction under the criminal judgment an additional 10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w:t>
      </w:r>
      <w:r>
        <w:rPr>
          <w:u w:val="single"/>
        </w:rPr>
        <w:t xml:space="preserve">s</w:t>
      </w:r>
      <w:r>
        <w:rPr/>
        <w:t xml:space="preserve"> (6) </w:t>
      </w:r>
      <w:r>
        <w:rPr>
          <w:u w:val="single"/>
        </w:rPr>
        <w:t xml:space="preserve">and (7)</w:t>
      </w:r>
      <w:r>
        <w:rPr/>
        <w:t xml:space="preserve">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25 years following the offender's release from total confinement or 25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w:t>
      </w:r>
      <w:r>
        <w:rPr>
          <w:u w:val="single"/>
        </w:rPr>
        <w:t xml:space="preserve">(a) If a person is convicted of violating RCW 46.61.520 and the deceased victim of the offense was the parent of a minor child, then the court shall order the person to pay restitution in the form of child maintenance to each of the victim's children until the child or children reach 18 years of age and has graduated from high school, or the class of which the child is a member when the child reached 18 years of age has graduated from high school.</w:t>
      </w:r>
    </w:p>
    <w:p>
      <w:pPr>
        <w:spacing w:before="0" w:after="0" w:line="408" w:lineRule="exact"/>
        <w:ind w:left="0" w:right="0" w:firstLine="576"/>
        <w:jc w:val="left"/>
      </w:pPr>
      <w:r>
        <w:rPr>
          <w:u w:val="single"/>
        </w:rPr>
        <w:t xml:space="preserve">(b) The court shall order the person convicted as provided under this section to pay restitution in an amount that is reasonable or necessary for the maintenance of the victim's child or children after considering all relevant factors, including:</w:t>
      </w:r>
    </w:p>
    <w:p>
      <w:pPr>
        <w:spacing w:before="0" w:after="0" w:line="408" w:lineRule="exact"/>
        <w:ind w:left="0" w:right="0" w:firstLine="576"/>
        <w:jc w:val="left"/>
      </w:pPr>
      <w:r>
        <w:rPr>
          <w:u w:val="single"/>
        </w:rPr>
        <w:t xml:space="preserve">(i) The financial needs and resources of the child or children;</w:t>
      </w:r>
    </w:p>
    <w:p>
      <w:pPr>
        <w:spacing w:before="0" w:after="0" w:line="408" w:lineRule="exact"/>
        <w:ind w:left="0" w:right="0" w:firstLine="576"/>
        <w:jc w:val="left"/>
      </w:pPr>
      <w:r>
        <w:rPr>
          <w:u w:val="single"/>
        </w:rPr>
        <w:t xml:space="preserve">(ii) The financial resources and needs of the surviving parent or, if no other parent is alive or capable of caring for the child or children, the guardians of the child or children;</w:t>
      </w:r>
    </w:p>
    <w:p>
      <w:pPr>
        <w:spacing w:before="0" w:after="0" w:line="408" w:lineRule="exact"/>
        <w:ind w:left="0" w:right="0" w:firstLine="576"/>
        <w:jc w:val="left"/>
      </w:pPr>
      <w:r>
        <w:rPr>
          <w:u w:val="single"/>
        </w:rPr>
        <w:t xml:space="preserve">(iii) The physical and emotional condition of the child or children and the child's or children's educational needs;</w:t>
      </w:r>
    </w:p>
    <w:p>
      <w:pPr>
        <w:spacing w:before="0" w:after="0" w:line="408" w:lineRule="exact"/>
        <w:ind w:left="0" w:right="0" w:firstLine="576"/>
        <w:jc w:val="left"/>
      </w:pPr>
      <w:r>
        <w:rPr>
          <w:u w:val="single"/>
        </w:rPr>
        <w:t xml:space="preserve">(iv) The child's or children's physical and legal custody arrangements; and</w:t>
      </w:r>
    </w:p>
    <w:p>
      <w:pPr>
        <w:spacing w:before="0" w:after="0" w:line="408" w:lineRule="exact"/>
        <w:ind w:left="0" w:right="0" w:firstLine="576"/>
        <w:jc w:val="left"/>
      </w:pPr>
      <w:r>
        <w:rPr>
          <w:u w:val="single"/>
        </w:rPr>
        <w:t xml:space="preserve">(v) The reasonable work-related child care expenses of the surviving parent or guardian.</w:t>
      </w:r>
    </w:p>
    <w:p>
      <w:pPr>
        <w:spacing w:before="0" w:after="0" w:line="408" w:lineRule="exact"/>
        <w:ind w:left="0" w:right="0" w:firstLine="576"/>
        <w:jc w:val="left"/>
      </w:pPr>
      <w:r>
        <w:rPr>
          <w:u w:val="single"/>
        </w:rPr>
        <w:t xml:space="preserve">(c)(i) If the surviving parent or guardian of the child or children brings a civil action against the person convicted as provided under (a) of this subsection prior to any restitution order under this section and the surviving parent or guardian obtains a judgment in the civil suit, no restitution shall be ordered under this section.</w:t>
      </w:r>
    </w:p>
    <w:p>
      <w:pPr>
        <w:spacing w:before="0" w:after="0" w:line="408" w:lineRule="exact"/>
        <w:ind w:left="0" w:right="0" w:firstLine="576"/>
        <w:jc w:val="left"/>
      </w:pPr>
      <w:r>
        <w:rPr>
          <w:u w:val="single"/>
        </w:rPr>
        <w:t xml:space="preserve">(ii) If the court orders restitution under this section and the surviving parent or guardian subsequently brings a civil action and obtains a judgment, the restitution order shall be offset by the amount of the judgment awarded in the civil action.</w:t>
      </w:r>
    </w:p>
    <w:p>
      <w:pPr>
        <w:spacing w:before="0" w:after="0" w:line="408" w:lineRule="exact"/>
        <w:ind w:left="0" w:right="0" w:firstLine="576"/>
        <w:jc w:val="left"/>
      </w:pPr>
      <w:r>
        <w:rPr>
          <w:u w:val="single"/>
        </w:rPr>
        <w:t xml:space="preserve">(8)</w:t>
      </w:r>
      <w:r>
        <w:rPr/>
        <w:t xml:space="preserve"> Regardless of the provisions of subsections (1) through </w:t>
      </w:r>
      <w:r>
        <w:t>((</w:t>
      </w:r>
      <w:r>
        <w:rPr>
          <w:strike/>
        </w:rPr>
        <w:t xml:space="preserve">(6)</w:t>
      </w:r>
      <w:r>
        <w:t>))</w:t>
      </w:r>
      <w:r>
        <w:rPr/>
        <w:t xml:space="preserve"> </w:t>
      </w:r>
      <w:r>
        <w:rPr>
          <w:u w:val="single"/>
        </w:rPr>
        <w:t xml:space="preserve">(7)</w:t>
      </w:r>
      <w:r>
        <w:rPr/>
        <w:t xml:space="preserve">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
      <w:pPr>
        <w:jc w:val="center"/>
      </w:pPr>
      <w:r>
        <w:rPr>
          <w:b/>
        </w:rPr>
        <w:t>--- END ---</w:t>
      </w:r>
    </w:p>
    <w:sectPr>
      <w:pgNumType w:start="1"/>
      <w:footerReference xmlns:r="http://schemas.openxmlformats.org/officeDocument/2006/relationships" r:id="Rd4dee371fabe44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c5d87ed60c4695" /><Relationship Type="http://schemas.openxmlformats.org/officeDocument/2006/relationships/footer" Target="/word/footer1.xml" Id="Rd4dee371fabe4428" /></Relationships>
</file>