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4169aa55654c5b" /></Relationships>
</file>

<file path=word/document.xml><?xml version="1.0" encoding="utf-8"?>
<w:document xmlns:w="http://schemas.openxmlformats.org/wordprocessingml/2006/main">
  <w:body>
    <w:p>
      <w:r>
        <w:t>H-1388.1</w:t>
      </w:r>
    </w:p>
    <w:p>
      <w:pPr>
        <w:jc w:val="center"/>
      </w:pPr>
      <w:r>
        <w:t>_______________________________________________</w:t>
      </w:r>
    </w:p>
    <w:p/>
    <w:p>
      <w:pPr>
        <w:jc w:val="center"/>
      </w:pPr>
      <w:r>
        <w:rPr>
          <w:b/>
        </w:rPr>
        <w:t>SUBSTITUTE HOUSE BILL 1677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Walsh, Gregerson, and Pollet; by request of Public Disclosure Commission)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transparency in campaign finance disclosure; and amending RCW 42.17A.205, 42.17A.207, 42.17A.235, 42.17A.255, 42.17A.260, 42.17A.265, 42.17A.345, and 42.17A.785.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34th day, the 20th day, and the sixth</w:t>
      </w:r>
      <w:r>
        <w:rPr/>
        <w:t xml:space="preserve"> day immediately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On the 20th day and the sixth day immediately preceding the date of the primary or special election; and</w:t>
      </w:r>
    </w:p>
    <w:p>
      <w:pPr>
        <w:spacing w:before="0" w:after="0" w:line="408" w:lineRule="exact"/>
        <w:ind w:left="0" w:right="0" w:firstLine="576"/>
        <w:jc w:val="left"/>
      </w:pPr>
      <w:r>
        <w:rPr>
          <w:u w:val="single"/>
        </w:rPr>
        <w:t xml:space="preserve">(c)</w:t>
      </w:r>
      <w:r>
        <w:rPr/>
        <w:t xml:space="preserve">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34 days, 20 days, and six</w:t>
      </w:r>
      <w:r>
        <w:rPr/>
        <w:t xml:space="preserve"> days before the </w:t>
      </w:r>
      <w:r>
        <w:rPr>
          <w:u w:val="single"/>
        </w:rPr>
        <w:t xml:space="preserve">general election and 20 days and six days before the primary or special</w:t>
      </w:r>
      <w:r>
        <w:rPr/>
        <w:t xml:space="preserve"> election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34th day, the 20th day, and the sixth</w:t>
      </w:r>
      <w:r>
        <w:rPr/>
        <w:t xml:space="preserve"> day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 On the 20th day and the sixth day immediately preceding the date of the primary or special election;</w:t>
      </w:r>
    </w:p>
    <w:p>
      <w:pPr>
        <w:spacing w:before="0" w:after="0" w:line="408" w:lineRule="exact"/>
        <w:ind w:left="0" w:right="0" w:firstLine="576"/>
        <w:jc w:val="left"/>
      </w:pP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w:t>
      </w:r>
      <w:r>
        <w:t>((</w:t>
      </w:r>
      <w:r>
        <w:rPr>
          <w:strike/>
        </w:rPr>
        <w:t xml:space="preserve">state treasury</w:t>
      </w:r>
      <w:r>
        <w:t>))</w:t>
      </w:r>
      <w:r>
        <w:rPr/>
        <w:t xml:space="preserve"> </w:t>
      </w:r>
      <w:r>
        <w:rPr>
          <w:u w:val="single"/>
        </w:rPr>
        <w:t xml:space="preserve">custody of the state treasurer</w:t>
      </w:r>
      <w:r>
        <w:rPr/>
        <w:t xml:space="preserve">. All receipts from penalties collected pursuant to enforcement actions or settlements under this chapter, including any fees or costs, must be deposited into the account. </w:t>
      </w:r>
      <w:r>
        <w:t>((</w:t>
      </w:r>
      <w:r>
        <w:rPr>
          <w:strike/>
        </w:rPr>
        <w:t xml:space="preserve">Moneys in the account may be spent only after appropriation. Moneys in the account may be used only for the implementation of chapter 304, Laws of 2018 and duties under this chapter, and may not be used to supplant general fund appropriations to the commission.</w:t>
      </w:r>
      <w:r>
        <w:t>))</w:t>
      </w:r>
    </w:p>
    <w:p>
      <w:pPr>
        <w:spacing w:before="0" w:after="0" w:line="408" w:lineRule="exact"/>
        <w:ind w:left="0" w:right="0" w:firstLine="576"/>
        <w:jc w:val="left"/>
      </w:pPr>
      <w:r>
        <w:rPr>
          <w:u w:val="single"/>
        </w:rPr>
        <w:t xml:space="preserve">(2) Moneys in the account may be used only for the development and implementation of projects designated by the commission for the purpose of improving the usability, transparency, and accessibility of systems and information regarding campaign financing, lobbying activities, and the financial affairs of public officials and candidates, consistent with the purposes of this chapter.  The commission shall approve and update the list of designated projects and include a description, the purpose, and projected cost of each project as part of the commission's regular review of its technology and related business projects strategic priorities plan.</w:t>
      </w:r>
    </w:p>
    <w:p>
      <w:pPr>
        <w:spacing w:before="0" w:after="0" w:line="408" w:lineRule="exact"/>
        <w:ind w:left="0" w:right="0" w:firstLine="576"/>
        <w:jc w:val="left"/>
      </w:pPr>
      <w:r>
        <w:rPr>
          <w:u w:val="single"/>
        </w:rPr>
        <w:t xml:space="preserve">(3) Moneys in the account may not be used for ongoing operating or enforcement expenses and are not intended to be and shall not be used to supplant general fund appropriations to the commission.</w:t>
      </w:r>
    </w:p>
    <w:p>
      <w:pPr>
        <w:spacing w:before="0" w:after="0" w:line="408" w:lineRule="exact"/>
        <w:ind w:left="0" w:right="0" w:firstLine="576"/>
        <w:jc w:val="left"/>
      </w:pPr>
      <w:r>
        <w:rPr>
          <w:u w:val="single"/>
        </w:rPr>
        <w:t xml:space="preserve">(4) Only the commission may authorize expenditures from the account. The account is not subject to appropriation.</w:t>
      </w:r>
    </w:p>
    <w:p/>
    <w:p>
      <w:pPr>
        <w:jc w:val="center"/>
      </w:pPr>
      <w:r>
        <w:rPr>
          <w:b/>
        </w:rPr>
        <w:t>--- END ---</w:t>
      </w:r>
    </w:p>
    <w:sectPr>
      <w:pgNumType w:start="1"/>
      <w:footerReference xmlns:r="http://schemas.openxmlformats.org/officeDocument/2006/relationships" r:id="R0ce03a2399c447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504cee37134368" /><Relationship Type="http://schemas.openxmlformats.org/officeDocument/2006/relationships/footer" Target="/word/footer1.xml" Id="R0ce03a2399c4476c" /></Relationships>
</file>