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fde28daab4e6f" /></Relationships>
</file>

<file path=word/document.xml><?xml version="1.0" encoding="utf-8"?>
<w:document xmlns:w="http://schemas.openxmlformats.org/wordprocessingml/2006/main">
  <w:body>
    <w:p>
      <w:r>
        <w:t>H-1422.1</w:t>
      </w:r>
    </w:p>
    <w:p>
      <w:pPr>
        <w:jc w:val="center"/>
      </w:pPr>
      <w:r>
        <w:t>_______________________________________________</w:t>
      </w:r>
    </w:p>
    <w:p/>
    <w:p>
      <w:pPr>
        <w:jc w:val="center"/>
      </w:pPr>
      <w:r>
        <w:rPr>
          <w:b/>
        </w:rPr>
        <w:t>SUBSTITUTE HOUSE BILL 1682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Maycumber, Chapman, Barnard, Reeves, Riccelli, Bateman, Springer, Volz, Chambers, Mosbrucker, Robertson, Leavitt, Jacobsen, Christian, and Rule)</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auto theft prevention authority account; amending RCW 46.66.080;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2015 3rd sp.s. c 4 s 964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All revenues from the traffic infraction surcharge in RCW 46.63.110(7)(b)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w:t>
      </w:r>
      <w:r>
        <w:rPr>
          <w:u w:val="single"/>
        </w:rPr>
        <w:t xml:space="preserve">local</w:t>
      </w:r>
      <w:r>
        <w:rPr/>
        <w:t xml:space="preserve"> confinement. During the 2011-2013, 2013-2015, and 2015-2017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ten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 which include, but are not limited to: (a) </w:t>
      </w:r>
      <w:r>
        <w:t>((</w:t>
      </w:r>
      <w:r>
        <w:rPr>
          <w:strike/>
        </w:rPr>
        <w:t xml:space="preserve">State, municipal,</w:t>
      </w:r>
      <w:r>
        <w:t>))</w:t>
      </w:r>
      <w:r>
        <w:rPr/>
        <w:t xml:space="preserve"> </w:t>
      </w:r>
      <w:r>
        <w:rPr>
          <w:u w:val="single"/>
        </w:rPr>
        <w:t xml:space="preserve">Municipal</w:t>
      </w:r>
      <w:r>
        <w:rPr/>
        <w:t xml:space="preserve"> and county offender and juvenile confinement costs; (b) administration costs; (c) law enforcement costs; (d) prosecutor costs; and (e) court costs, with a priority being given to ensuring that sufficient funding is available to cover </w:t>
      </w:r>
      <w:r>
        <w:t>((</w:t>
      </w:r>
      <w:r>
        <w:rPr>
          <w:strike/>
        </w:rPr>
        <w:t xml:space="preserve">state,</w:t>
      </w:r>
      <w:r>
        <w:t>))</w:t>
      </w:r>
      <w:r>
        <w:rPr/>
        <w:t xml:space="preserve"> municipal</w:t>
      </w:r>
      <w:r>
        <w:t>((</w:t>
      </w:r>
      <w:r>
        <w:rPr>
          <w:strike/>
        </w:rPr>
        <w:t xml:space="preserve">,</w:t>
      </w:r>
      <w:r>
        <w:t>))</w:t>
      </w:r>
      <w:r>
        <w:rPr/>
        <w:t xml:space="preserve"> and county offender and juvenile confinement costs.</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69fad46db7914c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866320dca4a7a" /><Relationship Type="http://schemas.openxmlformats.org/officeDocument/2006/relationships/footer" Target="/word/footer1.xml" Id="R69fad46db7914c6f" /></Relationships>
</file>