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cccdba9a4d4322" /></Relationships>
</file>

<file path=word/document.xml><?xml version="1.0" encoding="utf-8"?>
<w:document xmlns:w="http://schemas.openxmlformats.org/wordprocessingml/2006/main">
  <w:body>
    <w:p>
      <w:r>
        <w:t>H-0805.1</w:t>
      </w:r>
    </w:p>
    <w:p>
      <w:pPr>
        <w:jc w:val="center"/>
      </w:pPr>
      <w:r>
        <w:t>_______________________________________________</w:t>
      </w:r>
    </w:p>
    <w:p/>
    <w:p>
      <w:pPr>
        <w:jc w:val="center"/>
      </w:pPr>
      <w:r>
        <w:rPr>
          <w:b/>
        </w:rPr>
        <w:t>HOUSE BILL 1708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Volz, Abbarno, Walsh, Schmidt, Schmick, Corry, Couture, Hutchins, Harris, Dent, Low, Klicker, Cheney, McClintock, Chambers, Robertson, Barnard, Sandlin, Jacobsen, and Eslick</w:t>
      </w:r>
    </w:p>
    <w:p/>
    <w:p>
      <w:r>
        <w:rPr>
          <w:t xml:space="preserve">Read first time 02/01/23.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each ballot to have a unique serial number that permits a voter to view their voted ballot through an online portal; amending RCW 29A.40.091, 29A.40.130, and 42.56.420; and adding a new section to chapter 29A.40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 </w:t>
      </w:r>
      <w:r>
        <w:rPr>
          <w:u w:val="single"/>
        </w:rPr>
        <w:t xml:space="preserve">The ballot must be imprinted with a 16-digit serial number that is unique to each voter in each election, and it must be accompanied by a detachable copy of the number for the voter to keep. The county auditor may not retain any documentation that connects the serial number to a particular voter's identity.</w:t>
      </w:r>
    </w:p>
    <w:p>
      <w:pPr>
        <w:spacing w:before="0" w:after="0" w:line="408" w:lineRule="exact"/>
        <w:ind w:left="0" w:right="0" w:firstLine="576"/>
        <w:jc w:val="left"/>
      </w:pPr>
      <w:r>
        <w:rPr>
          <w:u w:val="single"/>
        </w:rPr>
        <w:t xml:space="preserve">(3)</w:t>
      </w:r>
      <w:r>
        <w:rPr/>
        <w:t xml:space="preserve">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"prepaid postage" means any method of return postage paid by the county or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secretary of state must create an online portal in which voters can input the serial number associated with their ballot in order to view an electronic record of all the votes cast on their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130</w:t>
      </w:r>
      <w:r>
        <w:rPr/>
        <w:t xml:space="preserve"> and 2011 c 10 s 42 are each amended to read as follows:</w:t>
      </w:r>
    </w:p>
    <w:p>
      <w:pPr>
        <w:spacing w:before="0" w:after="0" w:line="408" w:lineRule="exact"/>
        <w:ind w:left="0" w:right="0" w:firstLine="576"/>
        <w:jc w:val="left"/>
      </w:pPr>
      <w:r>
        <w:rPr>
          <w:u w:val="single"/>
        </w:rPr>
        <w:t xml:space="preserve">(1)</w:t>
      </w:r>
      <w:r>
        <w:rPr/>
        <w:t xml:space="preserve"> Each county auditor shall maintain in his or her office, open for public inspection, a record of all voters issued a ballot and all voters who returned a ballot. For each primary, special election, or general election, any political party, committee, or person may request a list of all registered voters who have or have not voted. Such requests shall be handled as public records requests pursuant to chapter 42.56 RCW.</w:t>
      </w:r>
    </w:p>
    <w:p>
      <w:pPr>
        <w:spacing w:before="0" w:after="0" w:line="408" w:lineRule="exact"/>
        <w:ind w:left="0" w:right="0" w:firstLine="576"/>
        <w:jc w:val="left"/>
      </w:pPr>
      <w:r>
        <w:rPr>
          <w:u w:val="single"/>
        </w:rPr>
        <w:t xml:space="preserve">(2) Within 30 days after a primary, special election, or general election, each county auditor must scan and upload a copy of each voted ballot into the online portal created by the secretary of state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2022 c 140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 and</w:t>
      </w:r>
    </w:p>
    <w:p>
      <w:pPr>
        <w:spacing w:before="0" w:after="0" w:line="408" w:lineRule="exact"/>
        <w:ind w:left="0" w:right="0" w:firstLine="576"/>
        <w:jc w:val="left"/>
      </w:pPr>
      <w:r>
        <w:rPr/>
        <w:t xml:space="preserve">(7)(a) In addition to the information in subsection (4) of this section, the following related to election security:</w:t>
      </w:r>
    </w:p>
    <w:p>
      <w:pPr>
        <w:spacing w:before="0" w:after="0" w:line="408" w:lineRule="exact"/>
        <w:ind w:left="0" w:right="0" w:firstLine="576"/>
        <w:jc w:val="left"/>
      </w:pPr>
      <w:r>
        <w:rPr/>
        <w:t xml:space="preserve">(i)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w:t>
      </w:r>
    </w:p>
    <w:p>
      <w:pPr>
        <w:spacing w:before="0" w:after="0" w:line="408" w:lineRule="exact"/>
        <w:ind w:left="0" w:right="0" w:firstLine="576"/>
        <w:jc w:val="left"/>
      </w:pPr>
      <w:r>
        <w:rPr/>
        <w:t xml:space="preserve">(ii) Those portions of records containing information about election infrastructure, election security, or potential threats to election security, the public disclosure of which may increase risk to the integrity of election operations or infrastructure; </w:t>
      </w:r>
      <w:r>
        <w:t>((</w:t>
      </w:r>
      <w:r>
        <w:rPr>
          <w:strike/>
        </w:rPr>
        <w:t xml:space="preserve">and</w:t>
      </w:r>
      <w:r>
        <w:t>))</w:t>
      </w:r>
    </w:p>
    <w:p>
      <w:pPr>
        <w:spacing w:before="0" w:after="0" w:line="408" w:lineRule="exact"/>
        <w:ind w:left="0" w:right="0" w:firstLine="576"/>
        <w:jc w:val="left"/>
      </w:pPr>
      <w:r>
        <w:rPr/>
        <w:t xml:space="preserve">(iii)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RCW 29A.04.260</w:t>
      </w:r>
      <w:r>
        <w:rPr>
          <w:u w:val="single"/>
        </w:rPr>
        <w:t xml:space="preserve">;</w:t>
      </w:r>
    </w:p>
    <w:p>
      <w:pPr>
        <w:spacing w:before="0" w:after="0" w:line="408" w:lineRule="exact"/>
        <w:ind w:left="0" w:right="0" w:firstLine="576"/>
        <w:jc w:val="left"/>
      </w:pPr>
      <w:r>
        <w:rPr>
          <w:u w:val="single"/>
        </w:rPr>
        <w:t xml:space="preserve">(iv) Any information or documents related to the development, maintenance, and administration of the portal established in section 2 of this act; and</w:t>
      </w:r>
    </w:p>
    <w:p>
      <w:pPr>
        <w:spacing w:before="0" w:after="0" w:line="408" w:lineRule="exact"/>
        <w:ind w:left="0" w:right="0" w:firstLine="576"/>
        <w:jc w:val="left"/>
      </w:pPr>
      <w:r>
        <w:rPr>
          <w:u w:val="single"/>
        </w:rPr>
        <w:t xml:space="preserve">(v) Any data that has been uploaded to the portal established in section 2 of this act</w:t>
      </w:r>
      <w:r>
        <w:rPr/>
        <w:t xml:space="preserve">.</w:t>
      </w:r>
    </w:p>
    <w:p>
      <w:pPr>
        <w:spacing w:before="0" w:after="0" w:line="408" w:lineRule="exact"/>
        <w:ind w:left="0" w:right="0" w:firstLine="576"/>
        <w:jc w:val="left"/>
      </w:pPr>
      <w:r>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t xml:space="preserve">(c) The exemptions specified in (a) of this subsection do not prohibit an audit authorized or required under Title 29A RCW from being conducted.</w:t>
      </w:r>
    </w:p>
    <w:p/>
    <w:p>
      <w:pPr>
        <w:jc w:val="center"/>
      </w:pPr>
      <w:r>
        <w:rPr>
          <w:b/>
        </w:rPr>
        <w:t>--- END ---</w:t>
      </w:r>
    </w:p>
    <w:sectPr>
      <w:pgNumType w:start="1"/>
      <w:footerReference xmlns:r="http://schemas.openxmlformats.org/officeDocument/2006/relationships" r:id="R00a55d52ace645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040d38b7b84912" /><Relationship Type="http://schemas.openxmlformats.org/officeDocument/2006/relationships/footer" Target="/word/footer1.xml" Id="R00a55d52ace6454c" /></Relationships>
</file>