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6a1c7109ce4628" /></Relationships>
</file>

<file path=word/document.xml><?xml version="1.0" encoding="utf-8"?>
<w:document xmlns:w="http://schemas.openxmlformats.org/wordprocessingml/2006/main">
  <w:body>
    <w:p>
      <w:r>
        <w:t>H-0836.1</w:t>
      </w:r>
    </w:p>
    <w:p>
      <w:pPr>
        <w:jc w:val="center"/>
      </w:pPr>
      <w:r>
        <w:t>_______________________________________________</w:t>
      </w:r>
    </w:p>
    <w:p/>
    <w:p>
      <w:pPr>
        <w:jc w:val="center"/>
      </w:pPr>
      <w:r>
        <w:rPr>
          <w:b/>
        </w:rPr>
        <w:t>HOUSE BILL 1715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Davis, Mosbrucker, Duerr, Griffey, Walen, Lekanoff, Morgan, Callan, Ramel, Thai, Rule, Ryu, Kloba, Chopp, Pollet, Chapman, Mena, Cortes, Eslick, Bergquist, and Fey</w:t>
      </w:r>
    </w:p>
    <w:p/>
    <w:p>
      <w:r>
        <w:rPr>
          <w:t xml:space="preserve">Read first time 02/01/23.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comprehensive protections for victims of domestic violence and other violence involving family members or intimate partners; amending RCW 10.97.050, 10.21.050, 7.105.155, 7.105.255, 7.105.450, 7.105.500, 10.99.020, 10.99.033, 10.99.040, 10.99.045, 10.99.100, 9.41.340, 9.41.345, 9.41.800, 9.41.801, 9.41.804, 7.105.340, 40.24.030, 42.17A.710, and 10.31.100; reenacting and amending RCW 7.105.310 and 10.99.030; adding a new section to chapter 10.99 RCW; adding new sections to chapter 2.56 RCW; adding new sections to chapter 43.101 RCW; adding new sections to chapter 2.53 RCW; adding a new section to chapter 7.105 RCW; adding a new section to chapter 43.330 RCW; adding a new section to chapter 43.20A RCW; and adding a new section to chapter 28B.20 RCW.</w:t>
      </w:r>
    </w:p>
    <w:p>
      <w:r>
        <w:t/>
      </w:r>
    </w:p>
    <w:p>
      <w:r>
        <w:t>BE IT ENACTED BY THE LEGISLATURE OF THE STATE OF WASHINGTON:</w:t>
      </w:r>
    </w:p>
    <w:p>
      <w:pPr>
        <w:spacing w:before="240" w:after="0" w:line="408" w:lineRule="exact"/>
        <w:ind w:left="0" w:right="0" w:firstLine="576"/>
        <w:jc w:val="center"/>
      </w:pPr>
      <w:r>
        <w:rPr>
          <w:b/>
        </w:rPr>
        <w:t xml:space="preserve">Part I. Lethality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By July 1, 2024, the department must, through the contractor under subsection (2) of this section, establish the domestic violence lethality hotline to provide an evidence-based standard of practice to prevent intimate partner homicide, increase victim safety, and enhance collaboration between law enforcement, domestic violence agencies, and service providers across the state.</w:t>
      </w:r>
    </w:p>
    <w:p>
      <w:pPr>
        <w:spacing w:before="0" w:after="0" w:line="408" w:lineRule="exact"/>
        <w:ind w:left="0" w:right="0" w:firstLine="576"/>
        <w:jc w:val="left"/>
      </w:pPr>
      <w:r>
        <w:rPr/>
        <w:t xml:space="preserve">(2) The department must contract with an organization to operate the hotline. The department must select the organization through a competitive bidding process and ensure that the selected organization has demonstrated financial stability, meets the qualifications for the duties identified in this section, and does not have any conflicts of interest that would interfere with the duties identified in this section. The department may adopt rules for carrying out this section.</w:t>
      </w:r>
    </w:p>
    <w:p>
      <w:pPr>
        <w:spacing w:before="0" w:after="0" w:line="408" w:lineRule="exact"/>
        <w:ind w:left="0" w:right="0" w:firstLine="576"/>
        <w:jc w:val="left"/>
      </w:pPr>
      <w:r>
        <w:rPr/>
        <w:t xml:space="preserve">(3)(a) The hotline must develop or select a lethality assessment instrument and protocol to be used to determine the likelihood that a homicide will be committed by one intimate partner against another. The lethality determination may not be based exclusively on a numeric score, but must be based on a comprehensive picture of the situation and the professional determination of the person conducting the assessment. All lethality assessments must be rooted in evidence-based risk factors for domestic homicide.</w:t>
      </w:r>
    </w:p>
    <w:p>
      <w:pPr>
        <w:spacing w:before="0" w:after="0" w:line="408" w:lineRule="exact"/>
        <w:ind w:left="0" w:right="0" w:firstLine="576"/>
        <w:jc w:val="left"/>
      </w:pPr>
      <w:r>
        <w:rPr/>
        <w:t xml:space="preserve">(b) Beginning January 1, 2025, the hotline must provide on-call service for completing lethality assessments remotely through victim interviews facilitated by peace officers under RCW 10.99.030 and for petitioners in domestic violence protection order proceedings. The hotline must also assist victims with immediate safety planning. Upon completing a lethality assessment, the hotline must electronically transmit a copy of the assessment to the applicable local law enforcement agency or court. Services under this subsection must be offered statewide, on-demand, 24 hours per day, seven days per week.</w:t>
      </w:r>
    </w:p>
    <w:p>
      <w:pPr>
        <w:spacing w:before="0" w:after="0" w:line="408" w:lineRule="exact"/>
        <w:ind w:left="0" w:right="0" w:firstLine="576"/>
        <w:jc w:val="left"/>
      </w:pPr>
      <w:r>
        <w:rPr/>
        <w:t xml:space="preserve">(c) The hotline must establish policies and procedures for conducting lethality assessments, and develop and provide training to peace officers on best practices for coordinating with the hotline, as required under RCW 10.99.030.</w:t>
      </w:r>
    </w:p>
    <w:p>
      <w:pPr>
        <w:spacing w:before="0" w:after="0" w:line="408" w:lineRule="exact"/>
        <w:ind w:left="0" w:right="0" w:firstLine="576"/>
        <w:jc w:val="left"/>
      </w:pPr>
      <w:r>
        <w:rPr/>
        <w:t xml:space="preserve">(d) Recognizing that past history of domestic violence is a significant lethality factor, law enforcement agencies and the courts must provide the hotline access to criminal history records and court records to the extent necessary for the hotline to perform lethality assessments under this section.</w:t>
      </w:r>
    </w:p>
    <w:p>
      <w:pPr>
        <w:spacing w:before="0" w:after="0" w:line="408" w:lineRule="exact"/>
        <w:ind w:left="0" w:right="0" w:firstLine="576"/>
        <w:jc w:val="left"/>
      </w:pPr>
      <w:r>
        <w:rPr/>
        <w:t xml:space="preserve">(4) The hotline must implement a mechanism to place a high lethality designation in law enforcement and court databases if a respondent or defendant is determined to be at high risk of intimate partner homicide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"Department" means the department of social and health services; and</w:t>
      </w:r>
    </w:p>
    <w:p>
      <w:pPr>
        <w:spacing w:before="0" w:after="0" w:line="408" w:lineRule="exact"/>
        <w:ind w:left="0" w:right="0" w:firstLine="576"/>
        <w:jc w:val="left"/>
      </w:pPr>
      <w:r>
        <w:rPr/>
        <w:t xml:space="preserve">(b) "Hotline" means the domestic violence lethality hotline.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must develop a model form for courts to use when granting protection orders or no-contact orders when the respondent or defendant has a high lethality designation under section 101 of this act. The form must automatically include all mandatory conditions for protection orders or no-contact orders with a high lethality designation.</w:t>
      </w:r>
    </w:p>
    <w:p>
      <w:pPr>
        <w:spacing w:before="0" w:after="0" w:line="408" w:lineRule="exact"/>
        <w:ind w:left="0" w:right="0" w:firstLine="576"/>
        <w:jc w:val="left"/>
      </w:pPr>
      <w:r>
        <w:rPr/>
        <w:t xml:space="preserve">(2) The administrative office of the courts must adopt rules requiring courts to rapidly transmit protection orders and no-contact orders with a high lethality designation under section 101 of this act to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2020 c 184 s 2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w:t>
      </w:r>
      <w:r>
        <w:rPr>
          <w:u w:val="single"/>
        </w:rPr>
        <w:t xml:space="preserve">Criminal history record information that includes nonconviction data may be disseminated to the domestic violence lethality hotline to the extent necessary for the hotline to perform lethality assessments under section 101 of this act.</w:t>
      </w:r>
    </w:p>
    <w:p>
      <w:pPr>
        <w:spacing w:before="0" w:after="0" w:line="408" w:lineRule="exact"/>
        <w:ind w:left="0" w:right="0" w:firstLine="576"/>
        <w:jc w:val="left"/>
      </w:pPr>
      <w:r>
        <w:rPr>
          <w:u w:val="single"/>
        </w:rPr>
        <w:t xml:space="preserve">(8)</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w:t>
      </w:r>
      <w:r>
        <w:t>((</w:t>
      </w:r>
      <w:r>
        <w:rPr>
          <w:strike/>
        </w:rPr>
        <w:t xml:space="preserve">and</w:t>
      </w:r>
      <w:r>
        <w:t>))</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person's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and</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(4) In the case of alleged intimate partner domestic violence, the results of any applicable and available lethality assessment</w:t>
      </w:r>
      <w:r>
        <w:rPr/>
        <w:t xml:space="preserve">.</w:t>
      </w:r>
    </w:p>
    <w:p>
      <w:pPr>
        <w:spacing w:before="240" w:after="0" w:line="408" w:lineRule="exact"/>
        <w:ind w:left="0" w:right="0" w:firstLine="576"/>
        <w:jc w:val="center"/>
      </w:pPr>
      <w:r>
        <w:rPr>
          <w:b/>
        </w:rPr>
        <w:t xml:space="preserve">Part II.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July 1, 2024, electronic monitoring with victim notification technology services must be available for all courts in all jurisdictions in the state.</w:t>
      </w:r>
    </w:p>
    <w:p>
      <w:pPr>
        <w:spacing w:before="0" w:after="0" w:line="408" w:lineRule="exact"/>
        <w:ind w:left="0" w:right="0" w:firstLine="576"/>
        <w:jc w:val="left"/>
      </w:pPr>
      <w:r>
        <w:rPr/>
        <w:t xml:space="preserve">(2) By December 1, 2023, the commission must adopt rules to implement the following:</w:t>
      </w:r>
    </w:p>
    <w:p>
      <w:pPr>
        <w:spacing w:before="0" w:after="0" w:line="408" w:lineRule="exact"/>
        <w:ind w:left="0" w:right="0" w:firstLine="576"/>
        <w:jc w:val="left"/>
      </w:pPr>
      <w:r>
        <w:rPr/>
        <w:t xml:space="preserve">(a) Requiring local governments to enter into contracts with a monitoring agency to provide electronic monitoring with victim notification technology services under court order, including specifying which entities are responsible for entering into those contracts;</w:t>
      </w:r>
    </w:p>
    <w:p>
      <w:pPr>
        <w:spacing w:before="0" w:after="0" w:line="408" w:lineRule="exact"/>
        <w:ind w:left="0" w:right="0" w:firstLine="576"/>
        <w:jc w:val="left"/>
      </w:pPr>
      <w:r>
        <w:rPr/>
        <w:t xml:space="preserve">(b) Establishing standards for the operation of electronic monitoring with victim notification technology by monitoring agencies, with the goal of implementing best practices to improve victim safety;</w:t>
      </w:r>
    </w:p>
    <w:p>
      <w:pPr>
        <w:spacing w:before="0" w:after="0" w:line="408" w:lineRule="exact"/>
        <w:ind w:left="0" w:right="0" w:firstLine="576"/>
        <w:jc w:val="left"/>
      </w:pPr>
      <w:r>
        <w:rPr/>
        <w:t xml:space="preserve">(c)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(d) Establishing any additional requirements necessary to promote compliance with RCW 2.56.260 and 9.94A.736, which may include, but not be limited to, training requirements for court officials, peace officers, local corrections officers and staff, and other appropriate practitioners.</w:t>
      </w:r>
    </w:p>
    <w:p>
      <w:pPr>
        <w:spacing w:before="0" w:after="0" w:line="408" w:lineRule="exact"/>
        <w:ind w:left="0" w:right="0" w:firstLine="576"/>
        <w:jc w:val="left"/>
      </w:pPr>
      <w:r>
        <w:rPr/>
        <w:t xml:space="preserve">(3) In developing the rules required under this section, the commission must solicit input from courts of general and limited jurisdiction, local governments, monitoring agencies, and statewide associations representing law enforcement leaders, prosecutors, domestic violence victims, and domestic violence agencies.</w:t>
      </w:r>
    </w:p>
    <w:p>
      <w:pPr>
        <w:spacing w:before="0" w:after="0" w:line="408" w:lineRule="exact"/>
        <w:ind w:left="0" w:right="0" w:firstLine="576"/>
        <w:jc w:val="left"/>
      </w:pPr>
      <w:r>
        <w:rPr/>
        <w:t xml:space="preserve">(4) The commission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administrative office of the courts must contract with one or more entities to:</w:t>
      </w:r>
    </w:p>
    <w:p>
      <w:pPr>
        <w:spacing w:before="0" w:after="0" w:line="408" w:lineRule="exact"/>
        <w:ind w:left="0" w:right="0" w:firstLine="576"/>
        <w:jc w:val="left"/>
      </w:pPr>
      <w:r>
        <w:rPr/>
        <w:t xml:space="preserve">(1) Provide training on electronic monitoring with victim notification technology to prosecutors, law enforcement officers, judges, domestic violence agencies, attorneys representing domestic violence survivors, and any other persons or entities deemed appropriate by the administrative office of the courts; and</w:t>
      </w:r>
    </w:p>
    <w:p>
      <w:pPr>
        <w:spacing w:before="0" w:after="0" w:line="408" w:lineRule="exact"/>
        <w:ind w:left="0" w:right="0" w:firstLine="576"/>
        <w:jc w:val="left"/>
      </w:pPr>
      <w:r>
        <w:rPr/>
        <w:t xml:space="preserve">(2) Create a website with information about electronic monitoring with victim notification technology, including recorded trainings, brochures or flyers, approved vendors, and specific instructions on how victims may advocate or request electronic monitoring with victim notification technology.</w:t>
      </w:r>
    </w:p>
    <w:p>
      <w:pPr>
        <w:spacing w:before="240" w:after="0" w:line="408" w:lineRule="exact"/>
        <w:ind w:left="0" w:right="0" w:firstLine="576"/>
        <w:jc w:val="center"/>
      </w:pPr>
      <w:r>
        <w:rPr>
          <w:b/>
        </w:rPr>
        <w:t xml:space="preserve">Part III.  Access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office of civil legal aid must propose a plan to create a right to counsel for low-income survivors of domestic violence in domestic violence protection order proceedings. The plan must include:</w:t>
      </w:r>
    </w:p>
    <w:p>
      <w:pPr>
        <w:spacing w:before="0" w:after="0" w:line="408" w:lineRule="exact"/>
        <w:ind w:left="0" w:right="0" w:firstLine="576"/>
        <w:jc w:val="left"/>
      </w:pPr>
      <w:r>
        <w:rPr/>
        <w:t xml:space="preserve">(a) Recommended income thresholds for the right to counsel;</w:t>
      </w:r>
    </w:p>
    <w:p>
      <w:pPr>
        <w:spacing w:before="0" w:after="0" w:line="408" w:lineRule="exact"/>
        <w:ind w:left="0" w:right="0" w:firstLine="576"/>
        <w:jc w:val="left"/>
      </w:pPr>
      <w:r>
        <w:rPr/>
        <w:t xml:space="preserve">(b) An estimate of projected demand;</w:t>
      </w:r>
    </w:p>
    <w:p>
      <w:pPr>
        <w:spacing w:before="0" w:after="0" w:line="408" w:lineRule="exact"/>
        <w:ind w:left="0" w:right="0" w:firstLine="576"/>
        <w:jc w:val="left"/>
      </w:pPr>
      <w:r>
        <w:rPr/>
        <w:t xml:space="preserve">(c) An estimate of projected start-up and ongoing costs;</w:t>
      </w:r>
    </w:p>
    <w:p>
      <w:pPr>
        <w:spacing w:before="0" w:after="0" w:line="408" w:lineRule="exact"/>
        <w:ind w:left="0" w:right="0" w:firstLine="576"/>
        <w:jc w:val="left"/>
      </w:pPr>
      <w:r>
        <w:rPr/>
        <w:t xml:space="preserve">(d) Recommended methods to prioritize scarce resources;</w:t>
      </w:r>
    </w:p>
    <w:p>
      <w:pPr>
        <w:spacing w:before="0" w:after="0" w:line="408" w:lineRule="exact"/>
        <w:ind w:left="0" w:right="0" w:firstLine="576"/>
        <w:jc w:val="left"/>
      </w:pPr>
      <w:r>
        <w:rPr/>
        <w:t xml:space="preserve">(e) Equity considerations;</w:t>
      </w:r>
    </w:p>
    <w:p>
      <w:pPr>
        <w:spacing w:before="0" w:after="0" w:line="408" w:lineRule="exact"/>
        <w:ind w:left="0" w:right="0" w:firstLine="576"/>
        <w:jc w:val="left"/>
      </w:pPr>
      <w:r>
        <w:rPr/>
        <w:t xml:space="preserve">(f) A reasonable plan and timeline to phase in the right to counsel;</w:t>
      </w:r>
    </w:p>
    <w:p>
      <w:pPr>
        <w:spacing w:before="0" w:after="0" w:line="408" w:lineRule="exact"/>
        <w:ind w:left="0" w:right="0" w:firstLine="576"/>
        <w:jc w:val="left"/>
      </w:pPr>
      <w:r>
        <w:rPr/>
        <w:t xml:space="preserve">(g) Any statutory changes necessary to implement the plan, including a description of how the right to counsel interacts with the appointment of counsel under RCW 7.105.240; and</w:t>
      </w:r>
    </w:p>
    <w:p>
      <w:pPr>
        <w:spacing w:before="0" w:after="0" w:line="408" w:lineRule="exact"/>
        <w:ind w:left="0" w:right="0" w:firstLine="576"/>
        <w:jc w:val="left"/>
      </w:pPr>
      <w:r>
        <w:rPr/>
        <w:t xml:space="preserve">(h) Any other information deemed appropriate by the office of civil legal aid.</w:t>
      </w:r>
    </w:p>
    <w:p>
      <w:pPr>
        <w:spacing w:before="0" w:after="0" w:line="408" w:lineRule="exact"/>
        <w:ind w:left="0" w:right="0" w:firstLine="576"/>
        <w:jc w:val="left"/>
      </w:pPr>
      <w:r>
        <w:rPr/>
        <w:t xml:space="preserve">(2) The office of civil legal aid must report the plan to the supreme court, the governor, and the appropriate standing committees of the legislature by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office of civil legal aid must maintain on its website a statewide list of attorneys who specialize in representing survivors of domestic violence. The list of attorneys must be organized by region of the state and include contact information for the attorneys on the list.</w:t>
      </w:r>
    </w:p>
    <w:p>
      <w:pPr>
        <w:spacing w:before="0" w:after="0" w:line="408" w:lineRule="exact"/>
        <w:ind w:left="0" w:right="0" w:firstLine="576"/>
        <w:jc w:val="left"/>
      </w:pPr>
      <w:r>
        <w:rPr/>
        <w:t xml:space="preserve">(2) The office of civil legal aid must develop minimum qualifications for an attorney to be included on the list. An attorney licensed in this state may submit an application to the office of civil legal aid to be included on the list. The office of civil legal aid must include the attorney on the list after verifying the attorneys bar membership and qualifications.</w:t>
      </w:r>
    </w:p>
    <w:p>
      <w:pPr>
        <w:spacing w:before="240" w:after="0" w:line="408" w:lineRule="exact"/>
        <w:ind w:left="0" w:right="0" w:firstLine="576"/>
        <w:jc w:val="center"/>
      </w:pPr>
      <w:r>
        <w:rPr>
          <w:b/>
        </w:rPr>
        <w:t xml:space="preserve">Part IV.  Civil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w:t>
      </w:r>
      <w:r>
        <w:t>((</w:t>
      </w:r>
      <w:r>
        <w:rPr>
          <w:strike/>
        </w:rPr>
        <w:t xml:space="preserve">or before the next</w:t>
      </w:r>
      <w:r>
        <w:t>))</w:t>
      </w:r>
      <w:r>
        <w:rPr/>
        <w:t xml:space="preserve"> </w:t>
      </w:r>
      <w:r>
        <w:rPr>
          <w:u w:val="single"/>
        </w:rPr>
        <w:t xml:space="preserve">the same</w:t>
      </w:r>
      <w:r>
        <w:rPr/>
        <w:t xml:space="preserve">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 The law enforcement officer must give priority to orders with a high lethality designation under section 101 of this act</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w:t>
      </w:r>
      <w:r>
        <w:rPr>
          <w:u w:val="single"/>
        </w:rPr>
        <w:t xml:space="preserve">The law enforcement officer serving an order under this section must attempt to contact the petitioner before the attempted service so that the petitioner may provide pertinent information related to officer safety considerations, the respondent's behavior, the location and description of the respondent's firearms, and other relevant details;</w:t>
      </w:r>
    </w:p>
    <w:p>
      <w:pPr>
        <w:spacing w:before="0" w:after="0" w:line="408" w:lineRule="exact"/>
        <w:ind w:left="0" w:right="0" w:firstLine="576"/>
        <w:jc w:val="left"/>
      </w:pPr>
      <w:r>
        <w:rPr>
          <w:u w:val="single"/>
        </w:rPr>
        <w:t xml:space="preserve">(5)</w:t>
      </w:r>
      <w:r>
        <w:rPr/>
        <w:t xml:space="preserve">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w:t>
      </w:r>
      <w:r>
        <w:t>((</w:t>
      </w:r>
      <w:r>
        <w:rPr>
          <w:strike/>
        </w:rPr>
        <w:t xml:space="preserve">or</w:t>
      </w:r>
    </w:p>
    <w:p>
      <w:pPr>
        <w:spacing w:before="0" w:after="0" w:line="408" w:lineRule="exact"/>
        <w:ind w:left="0" w:right="0" w:firstLine="576"/>
        <w:jc w:val="left"/>
      </w:pPr>
      <w:r>
        <w:rPr>
          <w:strike/>
        </w:rPr>
        <w:t xml:space="preserve">(8)</w:t>
      </w:r>
      <w:r>
        <w:t>))</w:t>
      </w:r>
      <w:r>
        <w:rPr/>
        <w:t xml:space="preserve"> </w:t>
      </w:r>
      <w:r>
        <w:rPr>
          <w:u w:val="single"/>
        </w:rPr>
        <w:t xml:space="preserve">(9) Upon service of the order, the law enforcement officer must contact the petitioner to communicate that the order has been served, is now in effect, and can be lawfully enforced. The officer must also convey to the petitioner information regarding the respondent's behavior that may be relevant to the petitioner's safety planning;</w:t>
      </w:r>
    </w:p>
    <w:p>
      <w:pPr>
        <w:spacing w:before="0" w:after="0" w:line="408" w:lineRule="exact"/>
        <w:ind w:left="0" w:right="0" w:firstLine="576"/>
        <w:jc w:val="left"/>
      </w:pPr>
      <w:r>
        <w:rPr>
          <w:u w:val="single"/>
        </w:rPr>
        <w:t xml:space="preserve">(10)</w:t>
      </w:r>
      <w:r>
        <w:rPr/>
        <w:t xml:space="preserve">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r>
        <w:rPr>
          <w:u w:val="single"/>
        </w:rPr>
        <w:t xml:space="preserve">; or</w:t>
      </w:r>
    </w:p>
    <w:p>
      <w:pPr>
        <w:spacing w:before="0" w:after="0" w:line="408" w:lineRule="exact"/>
        <w:ind w:left="0" w:right="0" w:firstLine="576"/>
        <w:jc w:val="left"/>
      </w:pPr>
      <w:r>
        <w:rPr>
          <w:u w:val="single"/>
        </w:rPr>
        <w:t xml:space="preserve">(11) The law enforcement information sheet may not include the petitioner's residential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The administrative office of the courts, in consultation with the supreme court gender and justice commission, should notify judicial officers of the training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2022 c 268 s 17 and 2022 c 231 s 9 are each reenacted and amended to read as follows:</w:t>
      </w:r>
    </w:p>
    <w:p>
      <w:pPr>
        <w:spacing w:before="0" w:after="0" w:line="408" w:lineRule="exact"/>
        <w:ind w:left="0" w:right="0" w:firstLine="576"/>
        <w:jc w:val="left"/>
      </w:pPr>
      <w:r>
        <w:rPr/>
        <w:t xml:space="preserve">(1) In issuing any type of protection order, other than an ex parte temporary antiharassment protection order as limited by subsection (2) of this section, and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residence that the parties share;</w:t>
      </w:r>
    </w:p>
    <w:p>
      <w:pPr>
        <w:spacing w:before="0" w:after="0" w:line="408" w:lineRule="exact"/>
        <w:ind w:left="0" w:right="0" w:firstLine="576"/>
        <w:jc w:val="left"/>
      </w:pPr>
      <w:r>
        <w:rPr/>
        <w:t xml:space="preserve">(d) Exclude the respondent from the residence, workplace, or school of the petitioner; or from the day care or school of a minor child;</w:t>
      </w:r>
    </w:p>
    <w:p>
      <w:pPr>
        <w:spacing w:before="0" w:after="0" w:line="408" w:lineRule="exact"/>
        <w:ind w:left="0" w:right="0" w:firstLine="576"/>
        <w:jc w:val="left"/>
      </w:pPr>
      <w:r>
        <w:rPr/>
        <w:t xml:space="preserve">(e)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(f)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(g)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(h)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(i)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(j)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w:t>
      </w:r>
      <w:r>
        <w:rPr>
          <w:u w:val="single"/>
        </w:rPr>
        <w:t xml:space="preserve">Reasonable attorneys' fees or limited licensed legal technical fees are mandatory under subsection (4) of this section.</w:t>
      </w:r>
      <w:r>
        <w:rPr/>
        <w:t xml:space="preserve">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(k) Restrain the respondent from harassing, following, monitoring, keeping under physical or electronic surveillance, cyber harassment as defined in RCW 9A.90.120,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(l)</w:t>
      </w:r>
      <w:r>
        <w:rPr>
          <w:u w:val="single"/>
        </w:rPr>
        <w:t xml:space="preserve">(i)</w:t>
      </w:r>
      <w:r>
        <w:rPr/>
        <w:t xml:space="preserve"> Other than for respondents who are minors, require the respondent to submit to electronic monitoring</w:t>
      </w:r>
      <w:r>
        <w:rPr>
          <w:u w:val="single"/>
        </w:rPr>
        <w:t xml:space="preserve">, including electronic monitoring with victim notification technology</w:t>
      </w:r>
      <w:r>
        <w:rPr/>
        <w:t xml:space="preserve">.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u w:val="single"/>
        </w:rPr>
        <w:t xml:space="preserve">(ii) The court must order the respondent to submit to electronic monitoring with victim notification technology upon the request of the petitioner if the respondent has a high lethality designation under section 101 of this act. In all other cases, electronic monitoring with victim notification technology is discretionary;</w:t>
      </w:r>
    </w:p>
    <w:p>
      <w:pPr>
        <w:spacing w:before="0" w:after="0" w:line="408" w:lineRule="exact"/>
        <w:ind w:left="0" w:right="0" w:firstLine="576"/>
        <w:jc w:val="left"/>
      </w:pPr>
      <w:r>
        <w:rPr/>
        <w:t xml:space="preserve">(m)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(n)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(o) Order use of a vehicle;</w:t>
      </w:r>
    </w:p>
    <w:p>
      <w:pPr>
        <w:spacing w:before="0" w:after="0" w:line="408" w:lineRule="exact"/>
        <w:ind w:left="0" w:right="0" w:firstLine="576"/>
        <w:jc w:val="left"/>
      </w:pPr>
      <w:r>
        <w:rPr/>
        <w:t xml:space="preserve">(p)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(q) Restrain the respondent from committing acts of abandonment, abuse, neglect, or financial exploitation against a vulnerable adult;</w:t>
      </w:r>
    </w:p>
    <w:p>
      <w:pPr>
        <w:spacing w:before="0" w:after="0" w:line="408" w:lineRule="exact"/>
        <w:ind w:left="0" w:right="0" w:firstLine="576"/>
        <w:jc w:val="left"/>
      </w:pPr>
      <w:r>
        <w:rPr/>
        <w:t xml:space="preserve">(r) Require an accounting by the respondent of the disposition of the vulnerable adult's income or other resources;</w:t>
      </w:r>
    </w:p>
    <w:p>
      <w:pPr>
        <w:spacing w:before="0" w:after="0" w:line="408" w:lineRule="exact"/>
        <w:ind w:left="0" w:right="0" w:firstLine="576"/>
        <w:jc w:val="left"/>
      </w:pPr>
      <w:r>
        <w:rPr/>
        <w:t xml:space="preserve">(s) Restrain the transfer of either the respondent's or vulnerable adult's property, or both, for a specified period not exceeding 90 days;</w:t>
      </w:r>
    </w:p>
    <w:p>
      <w:pPr>
        <w:spacing w:before="0" w:after="0" w:line="408" w:lineRule="exact"/>
        <w:ind w:left="0" w:right="0" w:firstLine="576"/>
        <w:jc w:val="left"/>
      </w:pPr>
      <w:r>
        <w:rPr/>
        <w:t xml:space="preserve">(t) Order financial relief and restrain the transfer of jointly owned assets;</w:t>
      </w:r>
    </w:p>
    <w:p>
      <w:pPr>
        <w:spacing w:before="0" w:after="0" w:line="408" w:lineRule="exact"/>
        <w:ind w:left="0" w:right="0" w:firstLine="576"/>
        <w:jc w:val="left"/>
      </w:pPr>
      <w:r>
        <w:rPr/>
        <w:t xml:space="preserve">(u)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(v)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t xml:space="preserve">(3)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(4) </w:t>
      </w:r>
      <w:r>
        <w:rPr>
          <w:u w:val="single"/>
        </w:rPr>
        <w:t xml:space="preserve">In issuing a domestic violence, sexual assault, or stalking protection order on behalf of a prevailing petitioner, the court must order the respondent to pay reasonable attorneys' fees or limited license legal technician fees when such fees are incurred by a person licensed and practicing in accordance with state supreme court admission and practice rule 28, the limited practice rule for limited license legal technicians.</w:t>
      </w:r>
    </w:p>
    <w:p>
      <w:pPr>
        <w:spacing w:before="0" w:after="0" w:line="408" w:lineRule="exact"/>
        <w:ind w:left="0" w:right="0" w:firstLine="576"/>
        <w:jc w:val="left"/>
      </w:pPr>
      <w:r>
        <w:rPr>
          <w:u w:val="single"/>
        </w:rPr>
        <w:t xml:space="preserve">(5)</w:t>
      </w:r>
      <w:r>
        <w:rPr/>
        <w:t xml:space="preserve">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(c)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2022 c 268 s 21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w:t>
      </w:r>
      <w:r>
        <w:t>((</w:t>
      </w:r>
      <w:r>
        <w:rPr>
          <w:strike/>
        </w:rPr>
        <w:t xml:space="preserve">or</w:t>
      </w:r>
      <w:r>
        <w:t>))</w:t>
      </w:r>
    </w:p>
    <w:p>
      <w:pPr>
        <w:spacing w:before="0" w:after="0" w:line="408" w:lineRule="exact"/>
        <w:ind w:left="0" w:right="0" w:firstLine="576"/>
        <w:jc w:val="left"/>
      </w:pPr>
      <w:r>
        <w:rPr/>
        <w:t xml:space="preserve">(v) </w:t>
      </w:r>
      <w:r>
        <w:rPr>
          <w:u w:val="single"/>
        </w:rPr>
        <w:t xml:space="preserve">A provision requiring the respondent to submit to electronic monitoring; or</w:t>
      </w:r>
    </w:p>
    <w:p>
      <w:pPr>
        <w:spacing w:before="0" w:after="0" w:line="408" w:lineRule="exact"/>
        <w:ind w:left="0" w:right="0" w:firstLine="576"/>
        <w:jc w:val="left"/>
      </w:pPr>
      <w:r>
        <w:rPr>
          <w:u w:val="single"/>
        </w:rPr>
        <w:t xml:space="preserve">(vi)</w:t>
      </w:r>
      <w:r>
        <w:rPr/>
        <w:t xml:space="preserve">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w:t>
      </w:r>
      <w:r>
        <w:t>((</w:t>
      </w:r>
      <w:r>
        <w:rPr>
          <w:strike/>
        </w:rPr>
        <w:t xml:space="preserve">take into</w:t>
      </w:r>
      <w:r>
        <w:t>))</w:t>
      </w:r>
      <w:r>
        <w:rPr/>
        <w:t xml:space="preserve"> </w:t>
      </w:r>
      <w:r>
        <w:rPr>
          <w:u w:val="single"/>
        </w:rPr>
        <w:t xml:space="preserve">keep in</w:t>
      </w:r>
      <w:r>
        <w:rPr/>
        <w:t xml:space="preserve"> custody </w:t>
      </w:r>
      <w:r>
        <w:rPr>
          <w:u w:val="single"/>
        </w:rPr>
        <w:t xml:space="preserve">until release by a judicial officer on bail, personal recognizance, or court order,</w:t>
      </w:r>
      <w:r>
        <w:rPr/>
        <w:t xml:space="preserve">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 </w:t>
      </w:r>
      <w:r>
        <w:rPr>
          <w:u w:val="single"/>
        </w:rPr>
        <w:t xml:space="preserve">A law enforcement officer is not required to keep in custody a person under this subsection if the person requires immediate medical attention and is admitted to a hospital.</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(7)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t xml:space="preserve">(8) Appearances required under this section are mandatory and cannot be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2022 c 268 s 23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if the child is already in the physical custody of the petitioner. 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w:t>
      </w:r>
      <w:r>
        <w:t>((</w:t>
      </w:r>
      <w:r>
        <w:rPr>
          <w:strike/>
        </w:rPr>
        <w:t xml:space="preserve">may</w:t>
      </w:r>
      <w:r>
        <w:t>))</w:t>
      </w:r>
      <w:r>
        <w:rPr/>
        <w:t xml:space="preserve"> </w:t>
      </w:r>
      <w:r>
        <w:rPr>
          <w:u w:val="single"/>
        </w:rPr>
        <w:t xml:space="preserve">must</w:t>
      </w:r>
      <w:r>
        <w:rPr/>
        <w:t xml:space="preserve"> require the respondent to pay the petitioner for costs incurred in responding to a motion to modify or terminate a </w:t>
      </w:r>
      <w:r>
        <w:rPr>
          <w:u w:val="single"/>
        </w:rPr>
        <w:t xml:space="preserve">domestic violence, sexual assault, or stalking</w:t>
      </w:r>
      <w:r>
        <w:rPr/>
        <w:t xml:space="preserve"> protection order, including reasonable attorneys' fees. </w:t>
      </w:r>
      <w:r>
        <w:rPr>
          <w:u w:val="single"/>
        </w:rPr>
        <w:t xml:space="preserve">A court may require the respondent to pay the petitioner for costs incurred in responding to a motion to modify or terminate any other type of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In any proceeding in which the court enters a temporary protection order that includes a temporary order to surrender and prohibit weapons, and after the hearing the court denies the petition for a full protection order, the court must stay entry of the decision and provide notice to the petitioner of the right to seek reconsideration or revision of the decision in accordance with this section.</w:t>
      </w:r>
    </w:p>
    <w:p>
      <w:pPr>
        <w:spacing w:before="0" w:after="0" w:line="408" w:lineRule="exact"/>
        <w:ind w:left="0" w:right="0" w:firstLine="576"/>
        <w:jc w:val="left"/>
      </w:pPr>
      <w:r>
        <w:rPr/>
        <w:t xml:space="preserve">(2) The court must notify the petitioner verbally and provide the petitioner with written information at the hearing in which the court denies the petition for a full protection order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A motion for reconsideration or a motion for revision must be filed within 10 calendar days of the court's denial of the petition for a full protection order. The petitioner may not file both a motion for reconsideration and a motion for revision. The hearing on the motion must be held within 30 calendar days from the filing of the motion.</w:t>
      </w:r>
    </w:p>
    <w:p>
      <w:pPr>
        <w:spacing w:before="0" w:after="0" w:line="408" w:lineRule="exact"/>
        <w:ind w:left="0" w:right="0" w:firstLine="576"/>
        <w:jc w:val="left"/>
      </w:pPr>
      <w:r>
        <w:rPr/>
        <w:t xml:space="preserve">(4) The court's order denying entry of a full protection order must be stayed, and the temporary protection order and temporary order to surrender and prohibit weapons must remain in effect, pending reconsideration or revision, as follows:</w:t>
      </w:r>
    </w:p>
    <w:p>
      <w:pPr>
        <w:spacing w:before="0" w:after="0" w:line="408" w:lineRule="exact"/>
        <w:ind w:left="0" w:right="0" w:firstLine="576"/>
        <w:jc w:val="left"/>
      </w:pPr>
      <w:r>
        <w:rPr/>
        <w:t xml:space="preserve">(a) If the petitioner does not timely file a motion for reconsideration or motion for revision, the order denying the full protection order becomes final once the filing deadline for a motion for reconsideration or motion for revision has passed; and</w:t>
      </w:r>
    </w:p>
    <w:p>
      <w:pPr>
        <w:spacing w:before="0" w:after="0" w:line="408" w:lineRule="exact"/>
        <w:ind w:left="0" w:right="0" w:firstLine="576"/>
        <w:jc w:val="left"/>
      </w:pPr>
      <w:r>
        <w:rPr/>
        <w:t xml:space="preserve">(b) If the petitioner timely files a motion for reconsideration or motion for revision, the stay of the court's order denying the full protection order remains in place until the hearing on the motion for reconsideration or motion for revision is held, but no later than 30 calendar days after the motion is filed.</w:t>
      </w:r>
    </w:p>
    <w:p>
      <w:pPr>
        <w:spacing w:before="240" w:after="0" w:line="408" w:lineRule="exact"/>
        <w:ind w:left="0" w:right="0" w:firstLine="576"/>
        <w:jc w:val="center"/>
      </w:pPr>
      <w:r>
        <w:rPr>
          <w:b/>
        </w:rPr>
        <w:t xml:space="preserve">Part V.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2021 c 215 s 121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RCW 7.105.010.</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(chapter 7.105 RCW, or RCW 10.99.040, 10.99.050, 26.09.300, 26.10.220, 26.26B.050, 26.44.063, 26.44.150, or 26.52.070, or any of the former RCW 26.50.060, 26.50.070, 26.50.130, and 74.34.145);</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(8) "Intimate partners" means: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p>
    <w:p>
      <w:pPr>
        <w:spacing w:before="0" w:after="0" w:line="408" w:lineRule="exact"/>
        <w:ind w:left="0" w:right="0" w:firstLine="576"/>
        <w:jc w:val="left"/>
      </w:pPr>
      <w:r>
        <w:rPr/>
        <w:t xml:space="preserve">(9) </w:t>
      </w:r>
      <w:r>
        <w:rPr>
          <w:u w:val="single"/>
        </w:rPr>
        <w:t xml:space="preserve">"Intimate terrorism" refers to a type of intimate partner violence in which the perpetrator uses violence, threats, coercive control, or other behaviors with the intent to dominate, intimidate or control the victim. If there are criminal acts, those acts simply punctuate a broader pattern of subjugation. In cases of intimate terrorism, the victim is usually fearful of the perpetrator.</w:t>
      </w:r>
    </w:p>
    <w:p>
      <w:pPr>
        <w:spacing w:before="0" w:after="0" w:line="408" w:lineRule="exact"/>
        <w:ind w:left="0" w:right="0" w:firstLine="576"/>
        <w:jc w:val="left"/>
      </w:pPr>
      <w:r>
        <w:rPr>
          <w:u w:val="single"/>
        </w:rPr>
        <w:t xml:space="preserve">(10)</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2019 c 367 s 1 and 2019 c 110 s 2 are each reenacted and amended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w:t>
      </w:r>
      <w:r>
        <w:t>((</w:t>
      </w:r>
      <w:r>
        <w:rPr>
          <w:strike/>
        </w:rPr>
        <w:t xml:space="preserve">complaining party</w:t>
      </w:r>
      <w:r>
        <w:t>))</w:t>
      </w:r>
      <w:r>
        <w:rPr/>
        <w:t xml:space="preserve"> </w:t>
      </w:r>
      <w:r>
        <w:rPr>
          <w:u w:val="single"/>
        </w:rPr>
        <w:t xml:space="preserve">victim</w:t>
      </w:r>
      <w:r>
        <w:rPr/>
        <w:t xml:space="preserve">.</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and concealed pistol license in the abuser's possession or control to law enforcement and prohibiting the abuser from possessing or accessing firearms or a concealed pistol license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 </w:t>
      </w:r>
      <w:r>
        <w:rPr>
          <w:u w:val="single"/>
        </w:rPr>
        <w:t xml:space="preserve">Beginning January 1, 2025, when a peace officer responds to a domestic violence call and has probable cause to believe that a crime has been committed, he or she shall, with the consent of the victim, connect the victim with the domestic violence lethality hotline under section 101 of this act to conduct a lethality assessment and assist the victim with safety planning.</w:t>
      </w:r>
    </w:p>
    <w:p>
      <w:pPr>
        <w:spacing w:before="0" w:after="0" w:line="408" w:lineRule="exact"/>
        <w:ind w:left="0" w:right="0" w:firstLine="576"/>
        <w:jc w:val="left"/>
      </w:pPr>
      <w:r>
        <w:rPr>
          <w:u w:val="single"/>
        </w:rPr>
        <w:t xml:space="preserve">(6)</w:t>
      </w:r>
      <w:r>
        <w:rPr/>
        <w:t xml:space="preserve"> The peace officer may offer, arrange, or facilitate transportation for the victim to a hospital for treatment of injuries or to a place of safety or shelter.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w:t>
      </w:r>
      <w:r>
        <w:rPr>
          <w:u w:val="single"/>
        </w:rPr>
        <w:t xml:space="preserve">distinguishing situational family violence from intimate terrorism,</w:t>
      </w:r>
      <w:r>
        <w:rPr/>
        <w:t xml:space="preserv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domestic violence homicide prevention, conducting lethality assessments in consultation with the domestic violence lethality hotline under section 101 of this act, 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w:t>
      </w:r>
      <w:r>
        <w:rPr>
          <w:u w:val="single"/>
        </w:rPr>
        <w:t xml:space="preserve">The program must also include training on conducting lethality assessments in consultation with the domestic violence lethality hotline under section 101 of this act, and serving and enforcing protection orders.</w:t>
      </w:r>
      <w:r>
        <w:rPr/>
        <w:t xml:space="preserve">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w:t>
      </w:r>
      <w:r>
        <w:t>((</w:t>
      </w:r>
      <w:r>
        <w:rPr>
          <w:strike/>
        </w:rPr>
        <w:t xml:space="preserve">, other than the attorney of a criminal defendant,</w:t>
      </w:r>
      <w:r>
        <w:t>))</w:t>
      </w:r>
      <w:r>
        <w:rPr/>
        <w:t xml:space="preserve"> upon a showing that there is a possibility of further violence</w:t>
      </w:r>
      <w:r>
        <w:t>((</w:t>
      </w:r>
      <w:r>
        <w:rPr>
          <w:strike/>
        </w:rPr>
        <w:t xml:space="preserve">: PROVIDED, That the court may order a criminal defense attorney not to disclose to his or her client the victim's location; and</w:t>
      </w:r>
      <w:r>
        <w:t>))</w:t>
      </w:r>
      <w:r>
        <w:rPr>
          <w:u w:val="single"/>
        </w:rPr>
        <w:t xml:space="preserve">;</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w:t>
      </w:r>
      <w:r>
        <w:rPr>
          <w:u w:val="single"/>
        </w:rPr>
        <w:t xml:space="preserve">any available lethality assessment and</w:t>
      </w:r>
      <w:r>
        <w:rPr/>
        <w:t xml:space="preserve"> all information documented in the incident report concerning the person's possession of and access to firearms and whether law enforcement took temporary custody of firearms at the time of the arrest. </w:t>
      </w:r>
      <w:r>
        <w:t>((</w:t>
      </w:r>
      <w:r>
        <w:rPr>
          <w:strike/>
        </w:rPr>
        <w:t xml:space="preserve">The</w:t>
      </w:r>
      <w:r>
        <w:t>))</w:t>
      </w:r>
      <w:r>
        <w:rPr/>
        <w:t xml:space="preserve"> </w:t>
      </w:r>
      <w:r>
        <w:rPr>
          <w:u w:val="single"/>
        </w:rPr>
        <w:t xml:space="preserve">In cases with a high lethality designation under section 101 of this act, the court must as a condition of release prohibit the defendant from possessing or accessing firearms and order the defendant to immediately surrender all firearms and any concealed pistol license to a law enforcement agency upon release. In all other cases, the</w:t>
      </w:r>
      <w:r>
        <w:rPr/>
        <w:t xml:space="preserv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w:t>
      </w:r>
      <w:r>
        <w:rPr>
          <w:u w:val="single"/>
        </w:rPr>
        <w:t xml:space="preserve">(i)</w:t>
      </w:r>
      <w:r>
        <w:rPr/>
        <w:t xml:space="preserve">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u w:val="single"/>
        </w:rPr>
        <w:t xml:space="preserve">(ii) The court must order the defendant to submit to electronic monitoring with victim notification technology if the victim was the defendant's intimate partner and the defendant has a high lethality designation under section 101 of this act. In all other cases, electronic monitoring with victim notification technology is discretionary.</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2021 c 215 s 77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w:t>
      </w:r>
    </w:p>
    <w:p>
      <w:pPr>
        <w:spacing w:before="0" w:after="0" w:line="408" w:lineRule="exact"/>
        <w:ind w:left="0" w:right="0" w:firstLine="576"/>
        <w:jc w:val="left"/>
      </w:pPr>
      <w:r>
        <w:rPr/>
        <w:t xml:space="preserve">(iii) The defendant's individual order history; </w:t>
      </w:r>
      <w:r>
        <w:t>((</w:t>
      </w:r>
      <w:r>
        <w:rPr>
          <w:strike/>
        </w:rPr>
        <w:t xml:space="preserve">and</w:t>
      </w:r>
      <w:r>
        <w:t>))</w:t>
      </w:r>
    </w:p>
    <w:p>
      <w:pPr>
        <w:spacing w:before="0" w:after="0" w:line="408" w:lineRule="exact"/>
        <w:ind w:left="0" w:right="0" w:firstLine="576"/>
        <w:jc w:val="left"/>
      </w:pPr>
      <w:r>
        <w:rPr/>
        <w:t xml:space="preserve">(iv) The defendant's firearms purchase history, including any concealed pistol license history</w:t>
      </w:r>
      <w:r>
        <w:rPr>
          <w:u w:val="single"/>
        </w:rPr>
        <w:t xml:space="preserve">; and</w:t>
      </w:r>
    </w:p>
    <w:p>
      <w:pPr>
        <w:spacing w:before="0" w:after="0" w:line="408" w:lineRule="exact"/>
        <w:ind w:left="0" w:right="0" w:firstLine="576"/>
        <w:jc w:val="left"/>
      </w:pPr>
      <w:r>
        <w:rPr>
          <w:u w:val="single"/>
        </w:rPr>
        <w:t xml:space="preserve">(v) Any available and applicable domestic violence lethality assessment</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w:t>
      </w:r>
      <w:r>
        <w:rPr>
          <w:u w:val="single"/>
        </w:rPr>
        <w:t xml:space="preserve">If pretrial supervision is available, a defendant with a high lethality designation under section 101 of this act must be ordered to pretrial supervision at the highest level offered.</w:t>
      </w:r>
    </w:p>
    <w:p>
      <w:pPr>
        <w:spacing w:before="0" w:after="0" w:line="408" w:lineRule="exact"/>
        <w:ind w:left="0" w:right="0" w:firstLine="576"/>
        <w:jc w:val="left"/>
      </w:pPr>
      <w:r>
        <w:rPr>
          <w:u w:val="single"/>
        </w:rPr>
        <w:t xml:space="preserve">(5) If the defendant carries a high lethality designation under section 101 of this act, the court must order electronic monitoring with victim notification technology as a condition for pretrial release. The court may order that the defendant pay the costs of the electronic monitoring.</w:t>
      </w:r>
    </w:p>
    <w:p>
      <w:pPr>
        <w:spacing w:before="0" w:after="0" w:line="408" w:lineRule="exact"/>
        <w:ind w:left="0" w:right="0" w:firstLine="576"/>
        <w:jc w:val="left"/>
      </w:pPr>
      <w:r>
        <w:rPr>
          <w:u w:val="single"/>
        </w:rPr>
        <w:t xml:space="preserve">(6) If the court uses an entity to make recommendations on conditions for pretrial release, the entity may not make such recommendations before performing a domestic violence lethality assessment in cases involving an intimate partner victim.</w:t>
      </w:r>
    </w:p>
    <w:p>
      <w:pPr>
        <w:spacing w:before="0" w:after="0" w:line="408" w:lineRule="exact"/>
        <w:ind w:left="0" w:right="0" w:firstLine="576"/>
        <w:jc w:val="left"/>
      </w:pPr>
      <w:r>
        <w:rPr>
          <w:u w:val="single"/>
        </w:rPr>
        <w:t xml:space="preserve">(7)</w:t>
      </w:r>
      <w:r>
        <w:rPr/>
        <w:t xml:space="preserve"> Appearances required pursuant to this section are mandatory and cannot be waived.</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no-contact order shall be issued and entered with the law enforcement agency pursuant to the procedures outlined in RCW 10.99.040 (2) and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100</w:t>
      </w:r>
      <w:r>
        <w:rPr/>
        <w:t xml:space="preserve"> and 2010 c 274 s 404 are each amended to read as follows:</w:t>
      </w:r>
    </w:p>
    <w:p>
      <w:pPr>
        <w:spacing w:before="0" w:after="0" w:line="408" w:lineRule="exact"/>
        <w:ind w:left="0" w:right="0" w:firstLine="576"/>
        <w:jc w:val="left"/>
      </w:pPr>
      <w:r>
        <w:rPr/>
        <w:t xml:space="preserve">(1) In sentencing for a crime of domestic violence as defined in this chapter, courts of limited jurisdiction shall consider, among other factors, whether:</w:t>
      </w:r>
    </w:p>
    <w:p>
      <w:pPr>
        <w:spacing w:before="0" w:after="0" w:line="408" w:lineRule="exact"/>
        <w:ind w:left="0" w:right="0" w:firstLine="576"/>
        <w:jc w:val="left"/>
      </w:pPr>
      <w:r>
        <w:rPr/>
        <w:t xml:space="preserve">(a)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(b) The offense was part of an ongoing pattern of psychological, physical, or sexual abuse of a victim or multiple victims manifested by multiple incidents over a prolonged period of time; </w:t>
      </w:r>
      <w:r>
        <w:t>((</w:t>
      </w:r>
      <w:r>
        <w:rPr>
          <w:strike/>
        </w:rPr>
        <w:t xml:space="preserve">and</w:t>
      </w:r>
      <w:r>
        <w:t>))</w:t>
      </w:r>
    </w:p>
    <w:p>
      <w:pPr>
        <w:spacing w:before="0" w:after="0" w:line="408" w:lineRule="exact"/>
        <w:ind w:left="0" w:right="0" w:firstLine="576"/>
        <w:jc w:val="left"/>
      </w:pPr>
      <w:r>
        <w:rPr/>
        <w:t xml:space="preserve">(c) </w:t>
      </w:r>
      <w:r>
        <w:rPr>
          <w:u w:val="single"/>
        </w:rPr>
        <w:t xml:space="preserve">The purpose of the offense was to gain or maintain power and control over the victim as part of a broader pattern of intimate terrorism; and</w:t>
      </w:r>
    </w:p>
    <w:p>
      <w:pPr>
        <w:spacing w:before="0" w:after="0" w:line="408" w:lineRule="exact"/>
        <w:ind w:left="0" w:right="0" w:firstLine="576"/>
        <w:jc w:val="left"/>
      </w:pPr>
      <w:r>
        <w:rPr>
          <w:u w:val="single"/>
        </w:rPr>
        <w:t xml:space="preserve">(d)</w:t>
      </w:r>
      <w:r>
        <w:rPr/>
        <w:t xml:space="preserve"> The offense occurred within sight or sound of the victim's or the offender's minor children under the age of eighteen years.</w:t>
      </w:r>
    </w:p>
    <w:p>
      <w:pPr>
        <w:spacing w:before="0" w:after="0" w:line="408" w:lineRule="exact"/>
        <w:ind w:left="0" w:right="0" w:firstLine="576"/>
        <w:jc w:val="left"/>
      </w:pPr>
      <w:r>
        <w:rPr/>
        <w:t xml:space="preserve">(2) </w:t>
      </w:r>
      <w:r>
        <w:rPr>
          <w:u w:val="single"/>
        </w:rPr>
        <w:t xml:space="preserve">In sentencing for a crime of intimate partner domestic violence with a high lethality designation under section 101 of this act, courts of limited jurisdiction must order the defendant to electronic monitoring with victim notification technology.</w:t>
      </w:r>
    </w:p>
    <w:p>
      <w:pPr>
        <w:spacing w:before="0" w:after="0" w:line="408" w:lineRule="exact"/>
        <w:ind w:left="0" w:right="0" w:firstLine="576"/>
        <w:jc w:val="left"/>
      </w:pPr>
      <w:r>
        <w:rPr>
          <w:u w:val="single"/>
        </w:rPr>
        <w:t xml:space="preserve">(3)</w:t>
      </w:r>
      <w:r>
        <w:rPr/>
        <w:t xml:space="preserve">(a) In sentencing for a crime of domestic violence as defined in this chapter,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prior criminal history that occurred in any tribal jurisdiction; and</w:t>
      </w:r>
    </w:p>
    <w:p>
      <w:pPr>
        <w:spacing w:before="0" w:after="0" w:line="408" w:lineRule="exact"/>
        <w:ind w:left="0" w:right="0" w:firstLine="576"/>
        <w:jc w:val="left"/>
      </w:pPr>
      <w:r>
        <w:rPr/>
        <w:t xml:space="preserve">(iii) The defendant's individual order history.</w:t>
      </w:r>
    </w:p>
    <w:p>
      <w:pPr>
        <w:spacing w:before="0" w:after="0" w:line="408" w:lineRule="exact"/>
        <w:ind w:left="0" w:right="0" w:firstLine="576"/>
        <w:jc w:val="left"/>
      </w:pPr>
      <w:r>
        <w:rPr/>
        <w:t xml:space="preserve">(b) For the purposes of (a) of this subsection, criminal history includes all previous convictions and orders of deferred prosecution, as reported through the judicial information system or otherwise available to the court or prosecutor, current to within the period specified in (c) of this subsection before the date of sentencing.</w:t>
      </w:r>
    </w:p>
    <w:p>
      <w:pPr>
        <w:spacing w:before="0" w:after="0" w:line="408" w:lineRule="exact"/>
        <w:ind w:left="0" w:right="0" w:firstLine="576"/>
        <w:jc w:val="left"/>
      </w:pPr>
      <w:r>
        <w:rPr/>
        <w:t xml:space="preserve">(c) The periods applicable to previous convictions and orders of deferred prosecution are: </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u w:val="single"/>
        </w:rPr>
        <w:t xml:space="preserve">(4) When sentencing a defendant for the crime of intimate partner domestic violence with a high lethality designation under section 101 of this act, other than a crime that would cause the defendant to be ineligible to possess firearms under RCW 9.41.040, the court must order the defendant to surrender all firearms and dangerous weapons on the day of release from any term of confinement, or, if the defendant does not serve a term of confinement, on the day the order is entered.</w:t>
      </w:r>
    </w:p>
    <w:p>
      <w:pPr>
        <w:spacing w:before="240" w:after="0" w:line="408" w:lineRule="exact"/>
        <w:ind w:left="0" w:right="0" w:firstLine="576"/>
        <w:jc w:val="center"/>
      </w:pPr>
      <w:r>
        <w:rPr>
          <w:b/>
        </w:rPr>
        <w:t xml:space="preserve">Part VI.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notification to any person identified in a no-contact order or protection order and any identified victim of the crime that resulted in the firearm surrender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a single person,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 another criminal justice agency</w:t>
      </w:r>
      <w:r>
        <w:t>))</w:t>
      </w:r>
      <w:r>
        <w:rPr/>
        <w:t xml:space="preserve"> </w:t>
      </w:r>
      <w:r>
        <w:rPr>
          <w:u w:val="single"/>
        </w:rPr>
        <w:t xml:space="preserve">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RCW 9.41.340(1)(a) (i) or (ii)</w:t>
      </w:r>
      <w:r>
        <w:rPr/>
        <w:t xml:space="preserve">, a law enforcement agency must:</w:t>
      </w:r>
    </w:p>
    <w:p>
      <w:pPr>
        <w:spacing w:before="0" w:after="0" w:line="408" w:lineRule="exact"/>
        <w:ind w:left="0" w:right="0" w:firstLine="576"/>
        <w:jc w:val="left"/>
      </w:pPr>
      <w:r>
        <w:rPr/>
        <w:t xml:space="preserve">(a) Provide notice to the family or household member </w:t>
      </w:r>
      <w:r>
        <w:t>((</w:t>
      </w:r>
      <w:r>
        <w:rPr>
          <w:strike/>
        </w:rPr>
        <w:t xml:space="preserve">or</w:t>
      </w:r>
      <w:r>
        <w:t>))</w:t>
      </w:r>
      <w:r>
        <w:rPr>
          <w:u w:val="single"/>
        </w:rPr>
        <w:t xml:space="preserve">,</w:t>
      </w:r>
      <w:r>
        <w:rPr/>
        <w:t xml:space="preserve"> intimate partner</w:t>
      </w:r>
      <w:r>
        <w:rPr>
          <w:u w:val="single"/>
        </w:rPr>
        <w:t xml:space="preserve">, identified victim, or person identified in a no contact order or a protection order</w:t>
      </w:r>
      <w:r>
        <w:rPr/>
        <w:t xml:space="preserve">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9A.46.080, 10.99.040, 10.99.045, 26.09.050, 26.09.060, 26.26B.020, or 26.26A.470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his or her immediate possession or control or subject to his or her immediate possession or control, and any concealed pistol license issued under RCW 9.41.070, to the local law enforcement agency. </w:t>
      </w:r>
      <w:r>
        <w:rPr>
          <w:u w:val="single"/>
        </w:rPr>
        <w:t xml:space="preserve">The court may order the search for and seizure of any firearm or dangerous weapon at any location where the court has probable cause to believe the firearm or dangerous weapon is located. The court order must state with specificity the reasons for and scope of the search and seizure authorized.</w:t>
      </w:r>
    </w:p>
    <w:p>
      <w:pPr>
        <w:spacing w:before="0" w:after="0" w:line="408" w:lineRule="exact"/>
        <w:ind w:left="0" w:right="0" w:firstLine="576"/>
        <w:jc w:val="left"/>
      </w:pPr>
      <w:r>
        <w:rPr>
          <w:u w:val="single"/>
        </w:rPr>
        <w:t xml:space="preserve">(7)</w:t>
      </w:r>
      <w:r>
        <w:rPr/>
        <w:t xml:space="preserve"> Law enforcement officers shall use law enforcement databases to assist in locating the party in situations where the protected person does not know where the party lives or where there is evidence that the party is trying to evade service.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and</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w:t>
      </w:r>
      <w:r>
        <w:rPr>
          <w:u w:val="single"/>
        </w:rPr>
        <w:t xml:space="preserve">(a)</w:t>
      </w:r>
      <w:r>
        <w:rPr/>
        <w:t xml:space="preserve">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w:t>
      </w:r>
      <w:r>
        <w:t>((</w:t>
      </w:r>
      <w:r>
        <w:rPr>
          <w:strike/>
        </w:rPr>
        <w:t xml:space="preserve">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r>
        <w:t>))</w:t>
      </w:r>
    </w:p>
    <w:p>
      <w:pPr>
        <w:spacing w:before="0" w:after="0" w:line="408" w:lineRule="exact"/>
        <w:ind w:left="0" w:right="0" w:firstLine="576"/>
        <w:jc w:val="left"/>
      </w:pPr>
      <w:r>
        <w:rPr>
          <w:u w:val="single"/>
        </w:rPr>
        <w:t xml:space="preserve">(b) Because of the heightened risk of serious violence after arrest for a crime of domestic violence, when there is a high lethality designation under section 101 of this act and the court has probable cause to believe that a person serving a term of confinement for an offense requiring the surrender of firearms or other dangerous weapons continues to possess such firearms or dangerous weapons, the court must order a law enforcement officer to accompany the person to the location where the court has probable cause to believe the firearms or dangerous weapons are stored. The law enforcement officer must immediately take possession of any firearms or dangerous weapons the officer finds at the location.</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w:t>
      </w:r>
      <w:r>
        <w:t>((</w:t>
      </w:r>
      <w:r>
        <w:rPr>
          <w:strike/>
        </w:rPr>
        <w:t xml:space="preserve">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w:t>
      </w:r>
      <w:r>
        <w:t>))</w:t>
      </w:r>
      <w:r>
        <w:rPr/>
        <w:t xml:space="preserve"> </w:t>
      </w:r>
      <w:r>
        <w:rPr>
          <w:u w:val="single"/>
        </w:rPr>
        <w:t xml:space="preserve">The</w:t>
      </w:r>
      <w:r>
        <w:rPr/>
        <w:t xml:space="preserv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w:t>
      </w:r>
      <w:r>
        <w:t>((</w:t>
      </w:r>
      <w:r>
        <w:rPr>
          <w:strike/>
        </w:rPr>
        <w:t xml:space="preserve">may</w:t>
      </w:r>
      <w:r>
        <w:t>))</w:t>
      </w:r>
      <w:r>
        <w:rPr/>
        <w:t xml:space="preserve"> </w:t>
      </w:r>
      <w:r>
        <w:rPr>
          <w:u w:val="single"/>
        </w:rPr>
        <w:t xml:space="preserve">must issue an arrest warrant and</w:t>
      </w:r>
      <w:r>
        <w:rPr/>
        <w:t xml:space="preserve">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in any criminal prosecution under this chapter, chapter 7.105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party ordered to surrender firearms, dangerous weapons, and his or her concealed pistol license under RCW 9.41.800 must file with the clerk of the court a proof of surrender and receipt form or a declaration of nonsurrender form within five judicial days of the entry of the order.</w:t>
      </w:r>
    </w:p>
    <w:p>
      <w:pPr>
        <w:spacing w:before="0" w:after="0" w:line="408" w:lineRule="exact"/>
        <w:ind w:left="0" w:right="0" w:firstLine="576"/>
        <w:jc w:val="left"/>
      </w:pPr>
      <w:r>
        <w:rPr>
          <w:u w:val="single"/>
        </w:rPr>
        <w:t xml:space="preserve">(2) A person ordered to surrender firearms or dangerous weapons under RCW 10.99.100 must file with the clerk of the court a proof of surrender and receipt form or a declaration of nonsurrender form on the same day the defendant is released from any term of confinement, or, if the defendant is not sentenced to a term of confinement, on the same day as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court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Other than for ex parte temporary protection orders, direct law enforcement to revoke any concealed pistol license issued to the respondent</w:t>
      </w:r>
      <w:r>
        <w:rPr>
          <w:u w:val="single"/>
        </w:rPr>
        <w:t xml:space="preserve">;</w:t>
      </w:r>
    </w:p>
    <w:p>
      <w:pPr>
        <w:spacing w:before="0" w:after="0" w:line="408" w:lineRule="exact"/>
        <w:ind w:left="0" w:right="0" w:firstLine="576"/>
        <w:jc w:val="left"/>
      </w:pPr>
      <w:r>
        <w:rPr>
          <w:u w:val="single"/>
        </w:rPr>
        <w:t xml:space="preserve">(b) The court may order the search for and seizure of any firearm or dangerous weapon at any location where the court has probable cause to believe the firearm or dangerous weapon is located. The court order must state with specificity the reasons for and scope of the search and seizure authorized</w:t>
      </w:r>
      <w:r>
        <w:rPr/>
        <w:t xml:space="preserve">.</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240" w:after="0" w:line="408" w:lineRule="exact"/>
        <w:ind w:left="0" w:right="0" w:firstLine="576"/>
        <w:jc w:val="center"/>
      </w:pPr>
      <w:r>
        <w:rPr>
          <w:b/>
        </w:rPr>
        <w:t xml:space="preserve">Part VII.  Address Confidentiality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him or her,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him or her,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240" w:after="0" w:line="408" w:lineRule="exact"/>
        <w:ind w:left="0" w:right="0" w:firstLine="576"/>
        <w:jc w:val="center"/>
      </w:pPr>
      <w:r>
        <w:rPr>
          <w:b/>
        </w:rPr>
        <w:t xml:space="preserve">Part VIII.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administer a grant program for establishing a statewide resource prosecutor for domestic violence cases.</w:t>
      </w:r>
    </w:p>
    <w:p>
      <w:pPr>
        <w:spacing w:before="0" w:after="0" w:line="408" w:lineRule="exact"/>
        <w:ind w:left="0" w:right="0" w:firstLine="576"/>
        <w:jc w:val="left"/>
      </w:pPr>
      <w:r>
        <w:rPr/>
        <w:t xml:space="preserve">(2) The grant recipient must be a statewide organization or association representing prosecuting attorneys. The grant recipient must hire a resource prosecutor for the following purposes:</w:t>
      </w:r>
    </w:p>
    <w:p>
      <w:pPr>
        <w:spacing w:before="0" w:after="0" w:line="408" w:lineRule="exact"/>
        <w:ind w:left="0" w:right="0" w:firstLine="576"/>
        <w:jc w:val="left"/>
      </w:pPr>
      <w:r>
        <w:rPr/>
        <w:t xml:space="preserve">(a) To provide technical assistance and research to prosecutors for prosecuting domestic violence cases;</w:t>
      </w:r>
    </w:p>
    <w:p>
      <w:pPr>
        <w:spacing w:before="0" w:after="0" w:line="408" w:lineRule="exact"/>
        <w:ind w:left="0" w:right="0" w:firstLine="576"/>
        <w:jc w:val="left"/>
      </w:pPr>
      <w:r>
        <w:rPr/>
        <w:t xml:space="preserve">(b) To provide additional training and resources to prosecutors to support a trauma-informed, victim-centered approach to prosecuting domestic violence cases;</w:t>
      </w:r>
    </w:p>
    <w:p>
      <w:pPr>
        <w:spacing w:before="0" w:after="0" w:line="408" w:lineRule="exact"/>
        <w:ind w:left="0" w:right="0" w:firstLine="576"/>
        <w:jc w:val="left"/>
      </w:pPr>
      <w:r>
        <w:rPr/>
        <w:t xml:space="preserve">(c) To meet regularly with law enforcement agencies and prosecutors to explain legal issues and prosecutorial approaches to domestic violence cases and provide and receive feedback to improve case outcomes;</w:t>
      </w:r>
    </w:p>
    <w:p>
      <w:pPr>
        <w:spacing w:before="0" w:after="0" w:line="408" w:lineRule="exact"/>
        <w:ind w:left="0" w:right="0" w:firstLine="576"/>
        <w:jc w:val="left"/>
      </w:pPr>
      <w:r>
        <w:rPr/>
        <w:t xml:space="preserve">(d) To consult with the commission with respect to developing and implementing best practices for prosecuting domestic violence cases across the state; and</w:t>
      </w:r>
    </w:p>
    <w:p>
      <w:pPr>
        <w:spacing w:before="0" w:after="0" w:line="408" w:lineRule="exact"/>
        <w:ind w:left="0" w:right="0" w:firstLine="576"/>
        <w:jc w:val="left"/>
      </w:pPr>
      <w:r>
        <w:rPr/>
        <w:t xml:space="preserve">(e) To comply with other requirements established by the commission under this section.</w:t>
      </w:r>
    </w:p>
    <w:p>
      <w:pPr>
        <w:spacing w:before="0" w:after="0" w:line="408" w:lineRule="exact"/>
        <w:ind w:left="0" w:right="0" w:firstLine="576"/>
        <w:jc w:val="left"/>
      </w:pPr>
      <w:r>
        <w:rPr/>
        <w:t xml:space="preserve">(3) The commission may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The department must administer the pilot program in partnership with local domestic violence programs.</w:t>
      </w:r>
    </w:p>
    <w:p>
      <w:pPr>
        <w:spacing w:before="0" w:after="0" w:line="408" w:lineRule="exact"/>
        <w:ind w:left="0" w:right="0" w:firstLine="576"/>
        <w:jc w:val="left"/>
      </w:pPr>
      <w:r>
        <w:rPr/>
        <w:t xml:space="preserve">(3) When there is a high lethality designation under section 101 of this act in a civil or criminal domestic violence proceeding, the court must refer the case to a domestic violence high risk team, if a team is available in the relevant jurisdiction.</w:t>
      </w:r>
    </w:p>
    <w:p>
      <w:pPr>
        <w:spacing w:before="0" w:after="0" w:line="408" w:lineRule="exact"/>
        <w:ind w:left="0" w:right="0" w:firstLine="576"/>
        <w:jc w:val="left"/>
      </w:pPr>
      <w:r>
        <w:rPr/>
        <w:t xml:space="preserve">(4) The department may scale the pilot program within the limits of appropriated funds, but at least five teams must be available west of the crest of the Cascade mountains and five teams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By July 1, 2024, the department must establish the office of the statewide domestic violence ombuds to promote and protect the rights of victims of domestic violence and to ensure the intent of chapter 10.99 RCW is fulfilled.</w:t>
      </w:r>
    </w:p>
    <w:p>
      <w:pPr>
        <w:spacing w:before="0" w:after="0" w:line="408" w:lineRule="exact"/>
        <w:ind w:left="0" w:right="0" w:firstLine="576"/>
        <w:jc w:val="left"/>
      </w:pPr>
      <w:r>
        <w:rPr/>
        <w:t xml:space="preserve">(2) The office of the statewide domestic violence ombuds must:</w:t>
      </w:r>
    </w:p>
    <w:p>
      <w:pPr>
        <w:spacing w:before="0" w:after="0" w:line="408" w:lineRule="exact"/>
        <w:ind w:left="0" w:right="0" w:firstLine="576"/>
        <w:jc w:val="left"/>
      </w:pPr>
      <w:r>
        <w:rPr/>
        <w:t xml:space="preserve">(a) Receive, investigate, and attempt to address and resolve complaints related to the treatment of victims of domestic violence across systems, including both the civil and criminal legal systems;</w:t>
      </w:r>
    </w:p>
    <w:p>
      <w:pPr>
        <w:spacing w:before="0" w:after="0" w:line="408" w:lineRule="exact"/>
        <w:ind w:left="0" w:right="0" w:firstLine="576"/>
        <w:jc w:val="left"/>
      </w:pPr>
      <w:r>
        <w:rPr/>
        <w:t xml:space="preserve">(b) Implement a statewide case review system for civil domestic violence protection orders to examine and report on irregularities in rulings and judicial officer conduct; and</w:t>
      </w:r>
    </w:p>
    <w:p>
      <w:pPr>
        <w:spacing w:before="0" w:after="0" w:line="408" w:lineRule="exact"/>
        <w:ind w:left="0" w:right="0" w:firstLine="576"/>
        <w:jc w:val="left"/>
      </w:pPr>
      <w:r>
        <w:rPr/>
        <w:t xml:space="preserve">(c) Implement a statewide case review system for criminal domestic violence protection cases to examine and report on law enforcement responses and investigations, prosecutorial behavior, irregularities in rulings, and the conduct of judicial officers. The case review system must review cases from diverse geographic regions of the state and must include:</w:t>
      </w:r>
    </w:p>
    <w:p>
      <w:pPr>
        <w:spacing w:before="0" w:after="0" w:line="408" w:lineRule="exact"/>
        <w:ind w:left="0" w:right="0" w:firstLine="576"/>
        <w:jc w:val="left"/>
      </w:pPr>
      <w:r>
        <w:rPr/>
        <w:t xml:space="preserve">(i) Data on:</w:t>
      </w:r>
    </w:p>
    <w:p>
      <w:pPr>
        <w:spacing w:before="0" w:after="0" w:line="408" w:lineRule="exact"/>
        <w:ind w:left="0" w:right="0" w:firstLine="576"/>
        <w:jc w:val="left"/>
      </w:pPr>
      <w:r>
        <w:rPr/>
        <w:t xml:space="preserve">(A) The percentage of domestic violence protection order petitions that result in a full protection order being issued and regional variances therein; and</w:t>
      </w:r>
    </w:p>
    <w:p>
      <w:pPr>
        <w:spacing w:before="0" w:after="0" w:line="408" w:lineRule="exact"/>
        <w:ind w:left="0" w:right="0" w:firstLine="576"/>
        <w:jc w:val="left"/>
      </w:pPr>
      <w:r>
        <w:rPr/>
        <w:t xml:space="preserve">(B) Categories of the bases upon which domestic violence protection orders are issued and the percentages of granted protection orders in each category, including physical violence, stalking, coercive control, and sexual assault;</w:t>
      </w:r>
    </w:p>
    <w:p>
      <w:pPr>
        <w:spacing w:before="0" w:after="0" w:line="408" w:lineRule="exact"/>
        <w:ind w:left="0" w:right="0" w:firstLine="576"/>
        <w:jc w:val="left"/>
      </w:pPr>
      <w:r>
        <w:rPr/>
        <w:t xml:space="preserve">(ii) Trained volunteers that will provide both real-time case reviews in court and reviews of recorded court proceedings;</w:t>
      </w:r>
    </w:p>
    <w:p>
      <w:pPr>
        <w:spacing w:before="0" w:after="0" w:line="408" w:lineRule="exact"/>
        <w:ind w:left="0" w:right="0" w:firstLine="576"/>
        <w:jc w:val="left"/>
      </w:pPr>
      <w:r>
        <w:rPr/>
        <w:t xml:space="preserve">(iii) Information on the percentage of intimate partner violence police reports that lead to charges and the conviction rate for these charges; and</w:t>
      </w:r>
    </w:p>
    <w:p>
      <w:pPr>
        <w:spacing w:before="0" w:after="0" w:line="408" w:lineRule="exact"/>
        <w:ind w:left="0" w:right="0" w:firstLine="576"/>
        <w:jc w:val="left"/>
      </w:pPr>
      <w:r>
        <w:rPr/>
        <w:t xml:space="preserve">(iv) A review of case files from law enforcement agencies and prosecuting attorneys selected by the office of the statewide domestic violence ombuds in order to identify changes to training, investigatory, and prosecutorial practices necessary to optimize outcomes in domestic violence investigations and prosecutions. The review must include:</w:t>
      </w:r>
    </w:p>
    <w:p>
      <w:pPr>
        <w:spacing w:before="0" w:after="0" w:line="408" w:lineRule="exact"/>
        <w:ind w:left="0" w:right="0" w:firstLine="576"/>
        <w:jc w:val="left"/>
      </w:pPr>
      <w:r>
        <w:rPr/>
        <w:t xml:space="preserve">(A) An evaluation of whether current training and practices foster a trauma-informed, victim-centered approach, and whether practices prevent domestic violence homicides;</w:t>
      </w:r>
    </w:p>
    <w:p>
      <w:pPr>
        <w:spacing w:before="0" w:after="0" w:line="408" w:lineRule="exact"/>
        <w:ind w:left="0" w:right="0" w:firstLine="576"/>
        <w:jc w:val="left"/>
      </w:pPr>
      <w:r>
        <w:rPr/>
        <w:t xml:space="preserve">(B) A comparison of arrests, charges, and convictions, including an analysis of the reasons why prosecutors decline to file charges; and</w:t>
      </w:r>
    </w:p>
    <w:p>
      <w:pPr>
        <w:spacing w:before="0" w:after="0" w:line="408" w:lineRule="exact"/>
        <w:ind w:left="0" w:right="0" w:firstLine="576"/>
        <w:jc w:val="left"/>
      </w:pPr>
      <w:r>
        <w:rPr/>
        <w:t xml:space="preserve">(C) Randomly selected cases for a systematic review to assess whether current practices conform to national best practices for a multidisciplinary approach to investigating and prosecuting domestic violence cases and interacting with survivors.</w:t>
      </w:r>
    </w:p>
    <w:p>
      <w:pPr>
        <w:spacing w:before="0" w:after="0" w:line="408" w:lineRule="exact"/>
        <w:ind w:left="0" w:right="0" w:firstLine="576"/>
        <w:jc w:val="left"/>
      </w:pPr>
      <w:r>
        <w:rPr/>
        <w:t xml:space="preserve">(3) The case review system may review and access files, including all reports and recordings, pertaining to closed cases involving allegations of domestic violence. Any law enforcement agency or prosecuting attorney selected for a review by the office of the statewide domestic violence ombuds must make requested case files and other documents available to the office of the statewide domestic violence ombuds, provided that the case files are not linked to ongoing, open investigations and that redactions may be made where appropriate and necessary. Agencies and prosecuting attorneys must include available information on the race and ethnicity of all victims in the relevant case files provided to the office of the statewide domestic violence ombuds. Case files and other documents must be made available to the office of the statewide domestic violence ombuds according to appropriate deadlines established by the office of the statewide domestic violence ombuds in consultation with the agency or prosecuting attorney.</w:t>
      </w:r>
    </w:p>
    <w:p>
      <w:pPr>
        <w:spacing w:before="0" w:after="0" w:line="408" w:lineRule="exact"/>
        <w:ind w:left="0" w:right="0" w:firstLine="576"/>
        <w:jc w:val="left"/>
      </w:pPr>
      <w:r>
        <w:rPr/>
        <w:t xml:space="preserve">(4) In designing and conducting the case review system, the office of the statewide domestic violence ombuds must consult and collaborate with experts in trauma-informed and victim-centered training, experts in domestic violence investigations and prosecutions, domestic violence survivors, domestic violence victim advocates, and other stakeholders identified by the office of the statewide domestic violence ombuds. The office of the statewide domestic violence ombuds may form a multidisciplinary work group for the purpose of carrying out the requirements of this section.</w:t>
      </w:r>
    </w:p>
    <w:p>
      <w:pPr>
        <w:spacing w:before="0" w:after="0" w:line="408" w:lineRule="exact"/>
        <w:ind w:left="0" w:right="0" w:firstLine="576"/>
        <w:jc w:val="left"/>
      </w:pPr>
      <w:r>
        <w:rPr/>
        <w:t xml:space="preserve">(5) The office of the statewide domestic violence ombuds must provide semiannual reports to the governor, the supreme court,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must establish a center of excellence in domestic violence research, policy, and practice. The center is created to:</w:t>
      </w:r>
    </w:p>
    <w:p>
      <w:pPr>
        <w:spacing w:before="0" w:after="0" w:line="408" w:lineRule="exact"/>
        <w:ind w:left="0" w:right="0" w:firstLine="576"/>
        <w:jc w:val="left"/>
      </w:pPr>
      <w:r>
        <w:rPr/>
        <w:t xml:space="preserve">(a) Conduct scientifically rigorous intimate partner violence research that informs policy and practice in Washington and serves as a national model;</w:t>
      </w:r>
    </w:p>
    <w:p>
      <w:pPr>
        <w:spacing w:before="0" w:after="0" w:line="408" w:lineRule="exact"/>
        <w:ind w:left="0" w:right="0" w:firstLine="576"/>
        <w:jc w:val="left"/>
      </w:pPr>
      <w:r>
        <w:rPr/>
        <w:t xml:space="preserve">(b) Promote a collaborative, multidisciplinary approach to addressing intimate partner violence, informed by community members and practitioners;</w:t>
      </w:r>
    </w:p>
    <w:p>
      <w:pPr>
        <w:spacing w:before="0" w:after="0" w:line="408" w:lineRule="exact"/>
        <w:ind w:left="0" w:right="0" w:firstLine="576"/>
        <w:jc w:val="left"/>
      </w:pPr>
      <w:r>
        <w:rPr/>
        <w:t xml:space="preserve">(c) Collaborate with and be informed by survivors and community and governmental agencies that interact with and provide services to those affected by intimate partner violence;</w:t>
      </w:r>
    </w:p>
    <w:p>
      <w:pPr>
        <w:spacing w:before="0" w:after="0" w:line="408" w:lineRule="exact"/>
        <w:ind w:left="0" w:right="0" w:firstLine="576"/>
        <w:jc w:val="left"/>
      </w:pPr>
      <w:r>
        <w:rPr/>
        <w:t xml:space="preserve">(d) Disseminate research findings to assist in the development of evidence-based intimate partner violence policy and practice; and</w:t>
      </w:r>
    </w:p>
    <w:p>
      <w:pPr>
        <w:spacing w:before="0" w:after="0" w:line="408" w:lineRule="exact"/>
        <w:ind w:left="0" w:right="0" w:firstLine="576"/>
        <w:jc w:val="left"/>
      </w:pPr>
      <w:r>
        <w:rPr/>
        <w:t xml:space="preserve">(e) Assist in the support, success, and continued training of intimate partner violence research scholars.</w:t>
      </w:r>
    </w:p>
    <w:p>
      <w:pPr>
        <w:spacing w:before="0" w:after="0" w:line="408" w:lineRule="exact"/>
        <w:ind w:left="0" w:right="0" w:firstLine="576"/>
        <w:jc w:val="left"/>
      </w:pPr>
      <w:r>
        <w:rPr/>
        <w:t xml:space="preserve">(2) The center must:</w:t>
      </w:r>
    </w:p>
    <w:p>
      <w:pPr>
        <w:spacing w:before="0" w:after="0" w:line="408" w:lineRule="exact"/>
        <w:ind w:left="0" w:right="0" w:firstLine="576"/>
        <w:jc w:val="left"/>
      </w:pPr>
      <w:r>
        <w:rPr/>
        <w:t xml:space="preserve">(a) Establish an advisory council for the center with representation from relevant disciplines across the University of Washington and intimate partner violence community groups in order to guide development of the center's overarching goals and strategic vision. The advisory council will also assist center leadership and core center faculty in identifying priority areas of research to best inform intimate partner violence policy and practice;</w:t>
      </w:r>
    </w:p>
    <w:p>
      <w:pPr>
        <w:spacing w:before="0" w:after="0" w:line="408" w:lineRule="exact"/>
        <w:ind w:left="0" w:right="0" w:firstLine="576"/>
        <w:jc w:val="left"/>
      </w:pPr>
      <w:r>
        <w:rPr/>
        <w:t xml:space="preserve">(b) Award research grants to facilitate timely generation of research results to inform the legislature and others on key policy or practice-related issues relevant to those affected by intimate partner violence;</w:t>
      </w:r>
    </w:p>
    <w:p>
      <w:pPr>
        <w:spacing w:before="0" w:after="0" w:line="408" w:lineRule="exact"/>
        <w:ind w:left="0" w:right="0" w:firstLine="576"/>
        <w:jc w:val="left"/>
      </w:pPr>
      <w:r>
        <w:rPr/>
        <w:t xml:space="preserve">(c) Generate an annual report beginning December 1, 2024, on the state of domestic violence in Washington, including available prevalence data;</w:t>
      </w:r>
    </w:p>
    <w:p>
      <w:pPr>
        <w:spacing w:before="0" w:after="0" w:line="408" w:lineRule="exact"/>
        <w:ind w:left="0" w:right="0" w:firstLine="576"/>
        <w:jc w:val="left"/>
      </w:pPr>
      <w:r>
        <w:rPr/>
        <w:t xml:space="preserve">(d) Conduct listening sessions with survivors of intimate partner violence statewide, including survivors in urban and rural areas, black survivors, indigenous survivors, survivors of color, and survivors who identify as part of the LGBTQ community;</w:t>
      </w:r>
    </w:p>
    <w:p>
      <w:pPr>
        <w:spacing w:before="0" w:after="0" w:line="408" w:lineRule="exact"/>
        <w:ind w:left="0" w:right="0" w:firstLine="576"/>
        <w:jc w:val="left"/>
      </w:pPr>
      <w:r>
        <w:rPr/>
        <w:t xml:space="preserve">(e) Provide presentations and research-informed training to system actors, including domestic violence victim advocates;</w:t>
      </w:r>
    </w:p>
    <w:p>
      <w:pPr>
        <w:spacing w:before="0" w:after="0" w:line="408" w:lineRule="exact"/>
        <w:ind w:left="0" w:right="0" w:firstLine="576"/>
        <w:jc w:val="left"/>
      </w:pPr>
      <w:r>
        <w:rPr/>
        <w:t xml:space="preserve">(f) Convene an annual statewide domestic violence summit. The first summit must occur by June 30, 2025;</w:t>
      </w:r>
    </w:p>
    <w:p>
      <w:pPr>
        <w:spacing w:before="0" w:after="0" w:line="408" w:lineRule="exact"/>
        <w:ind w:left="0" w:right="0" w:firstLine="576"/>
        <w:jc w:val="left"/>
      </w:pPr>
      <w:r>
        <w:rPr/>
        <w:t xml:space="preserve">(g) Develop a statewide strategic plan to reduce intimate partner violence and increase support for victims. The preliminary strategic plan is due December 1, 2025, and must be updated every five years thereafter; and</w:t>
      </w:r>
    </w:p>
    <w:p>
      <w:pPr>
        <w:spacing w:before="0" w:after="0" w:line="408" w:lineRule="exact"/>
        <w:ind w:left="0" w:right="0" w:firstLine="576"/>
        <w:jc w:val="left"/>
      </w:pPr>
      <w:r>
        <w:rPr/>
        <w:t xml:space="preserve">(h) Undertake a body of work related to domestic violence intervention treatment. This must include:</w:t>
      </w:r>
    </w:p>
    <w:p>
      <w:pPr>
        <w:spacing w:before="0" w:after="0" w:line="408" w:lineRule="exact"/>
        <w:ind w:left="0" w:right="0" w:firstLine="576"/>
        <w:jc w:val="left"/>
      </w:pPr>
      <w:r>
        <w:rPr/>
        <w:t xml:space="preserve">(i) Executing a robust, multiyear research study to test the efficacy of various therapeutic interventions for domestic violence perpetrators aimed at reducing intimate partner violence, including intimate terrorism as defined in RCW 10.99.020. Treatment interventions may vary, but must include internal family systems and an evidence-based intervention for the treatment of suicidality, such as the collaborative assessment and management of suicidality or dialectical behavioral therapy; and</w:t>
      </w:r>
    </w:p>
    <w:p>
      <w:pPr>
        <w:spacing w:before="0" w:after="0" w:line="408" w:lineRule="exact"/>
        <w:ind w:left="0" w:right="0" w:firstLine="576"/>
        <w:jc w:val="left"/>
      </w:pPr>
      <w:r>
        <w:rPr/>
        <w:t xml:space="preserve">(ii) Working with the department of health, domestic violence intervention treatment providers, insurance carriers, and other relevant entities in order to formulate a detailed plan that would facilitate medicaid and commercial insurance reimbursement for domestic violence intervention treatment in Washington. The plan must include licensing requirements and provider credentialing necessary for reimbursement, billing codes, needed changes to law or rule, and any other relevant information.</w:t>
      </w:r>
    </w:p>
    <w:p>
      <w:pPr>
        <w:spacing w:before="240" w:after="0" w:line="408" w:lineRule="exact"/>
        <w:ind w:left="0" w:right="0" w:firstLine="576"/>
        <w:jc w:val="center"/>
      </w:pPr>
      <w:r>
        <w:rPr>
          <w:b/>
        </w:rPr>
        <w:t xml:space="preserve">Part IX.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2026,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Except as provided in subsection (3) of this section, a</w:t>
      </w:r>
      <w:r>
        <w:rPr/>
        <w:t xml:space="preserve"> police officer shall arrest and </w:t>
      </w:r>
      <w:r>
        <w:t>((</w:t>
      </w:r>
      <w:r>
        <w:rPr>
          <w:strike/>
        </w:rPr>
        <w:t xml:space="preserve">take into</w:t>
      </w:r>
      <w:r>
        <w:t>))</w:t>
      </w:r>
      <w:r>
        <w:rPr/>
        <w:t xml:space="preserve"> </w:t>
      </w:r>
      <w:r>
        <w:rPr>
          <w:u w:val="single"/>
        </w:rPr>
        <w:t xml:space="preserve">keep in</w:t>
      </w:r>
      <w:r>
        <w:rPr/>
        <w:t xml:space="preserve"> custody, </w:t>
      </w:r>
      <w:r>
        <w:t>((</w:t>
      </w:r>
      <w:r>
        <w:rPr>
          <w:strike/>
        </w:rPr>
        <w:t xml:space="preserve">pending release</w:t>
      </w:r>
      <w:r>
        <w:t>))</w:t>
      </w:r>
      <w:r>
        <w:rPr/>
        <w:t xml:space="preserve"> </w:t>
      </w:r>
      <w:r>
        <w:rPr>
          <w:u w:val="single"/>
        </w:rPr>
        <w:t xml:space="preserve">until release by a judicial officer</w:t>
      </w:r>
      <w:r>
        <w:rPr/>
        <w:t xml:space="preserv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w:t>
      </w:r>
      <w:r>
        <w:t>((</w:t>
      </w:r>
      <w:r>
        <w:rPr>
          <w:strike/>
        </w:rPr>
        <w:t xml:space="preserve">and</w:t>
      </w:r>
      <w:r>
        <w:t>))</w:t>
      </w:r>
      <w:r>
        <w:rPr/>
        <w:t xml:space="preserve"> (C) the history of domestic violence of each person involved, including whether the conduct was part of an ongoing pattern of abuse</w:t>
      </w:r>
      <w:r>
        <w:rPr>
          <w:u w:val="single"/>
        </w:rPr>
        <w:t xml:space="preserve">; and (D) the presence of evidence indicating intimate terrorism as defined in RCW 10.99.020</w:t>
      </w:r>
      <w:r>
        <w:rPr/>
        <w:t xml:space="preserve">.</w:t>
      </w:r>
    </w:p>
    <w:p>
      <w:pPr>
        <w:spacing w:before="0" w:after="0" w:line="408" w:lineRule="exact"/>
        <w:ind w:left="0" w:right="0" w:firstLine="576"/>
        <w:jc w:val="left"/>
      </w:pPr>
      <w:r>
        <w:rPr/>
        <w:t xml:space="preserve">(3) </w:t>
      </w:r>
      <w:r>
        <w:rPr>
          <w:u w:val="single"/>
        </w:rPr>
        <w:t xml:space="preserve">A police officer is not required to keep in custody a person under subsection (2) of this section if the person requires immediate medical attention and is admitted to a hospital.</w:t>
      </w:r>
    </w:p>
    <w:p>
      <w:pPr>
        <w:spacing w:before="0" w:after="0" w:line="408" w:lineRule="exact"/>
        <w:ind w:left="0" w:right="0" w:firstLine="576"/>
        <w:jc w:val="left"/>
      </w:pPr>
      <w:r>
        <w:rPr>
          <w:u w:val="single"/>
        </w:rPr>
        <w:t xml:space="preserve">(4)</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Except as specifically provided in subsections (2), </w:t>
      </w:r>
      <w:r>
        <w:t>((</w:t>
      </w:r>
      <w:r>
        <w:rPr>
          <w:strike/>
        </w:rPr>
        <w:t xml:space="preserve">(3),</w:t>
      </w:r>
      <w:r>
        <w:t>))</w:t>
      </w:r>
      <w:r>
        <w:rPr/>
        <w:t xml:space="preserve"> (4), </w:t>
      </w:r>
      <w:r>
        <w:rPr>
          <w:u w:val="single"/>
        </w:rPr>
        <w:t xml:space="preserve">(5),</w:t>
      </w:r>
      <w:r>
        <w:rPr/>
        <w:t xml:space="preserve"> and </w:t>
      </w:r>
      <w:r>
        <w:t>((</w:t>
      </w:r>
      <w:r>
        <w:rPr>
          <w:strike/>
        </w:rPr>
        <w:t xml:space="preserve">(7)</w:t>
      </w:r>
      <w:r>
        <w:t>))</w:t>
      </w:r>
      <w:r>
        <w:rPr/>
        <w:t xml:space="preserve"> </w:t>
      </w:r>
      <w:r>
        <w:rPr>
          <w:u w:val="single"/>
        </w:rPr>
        <w:t xml:space="preserve">(8)</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 police officer may be held criminally or civilly liable for making an arrest pursuant to subsection (2) or </w:t>
      </w:r>
      <w:r>
        <w:t>((</w:t>
      </w:r>
      <w:r>
        <w:rPr>
          <w:strike/>
        </w:rPr>
        <w:t xml:space="preserve">(9)</w:t>
      </w:r>
      <w:r>
        <w:t>))</w:t>
      </w:r>
      <w:r>
        <w:rPr/>
        <w:t xml:space="preserve"> </w:t>
      </w:r>
      <w:r>
        <w:rPr>
          <w:u w:val="single"/>
        </w:rPr>
        <w:t xml:space="preserve">(10)</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
      <w:pPr>
        <w:jc w:val="center"/>
      </w:pPr>
      <w:r>
        <w:rPr>
          <w:b/>
        </w:rPr>
        <w:t>--- END ---</w:t>
      </w:r>
    </w:p>
    <w:sectPr>
      <w:pgNumType w:start="1"/>
      <w:footerReference xmlns:r="http://schemas.openxmlformats.org/officeDocument/2006/relationships" r:id="R524d9b0192424b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2fbb2cefba4951" /><Relationship Type="http://schemas.openxmlformats.org/officeDocument/2006/relationships/footer" Target="/word/footer1.xml" Id="R524d9b0192424bbe" /></Relationships>
</file>