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c183b26984fdd" /></Relationships>
</file>

<file path=word/document.xml><?xml version="1.0" encoding="utf-8"?>
<w:document xmlns:w="http://schemas.openxmlformats.org/wordprocessingml/2006/main">
  <w:body>
    <w:p>
      <w:r>
        <w:t>H-0556.1</w:t>
      </w:r>
    </w:p>
    <w:p>
      <w:pPr>
        <w:jc w:val="center"/>
      </w:pPr>
      <w:r>
        <w:t>_______________________________________________</w:t>
      </w:r>
    </w:p>
    <w:p/>
    <w:p>
      <w:pPr>
        <w:jc w:val="center"/>
      </w:pPr>
      <w:r>
        <w:rPr>
          <w:b/>
        </w:rPr>
        <w:t>HOUSE BILL 1719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and Jacobsen</w:t>
      </w:r>
    </w:p>
    <w:p/>
    <w:p>
      <w:r>
        <w:rPr>
          <w:t xml:space="preserve">Read first time 02/01/23.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hours of operation for the Interstate 405 express toll lanes and high occupancy vehicle lanes; amending RCW 47.52.025 and 47.56.880;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w:t>
      </w:r>
      <w:r>
        <w:rPr>
          <w:u w:val="single"/>
        </w:rPr>
        <w:t xml:space="preserve">(a)</w:t>
      </w:r>
      <w:r>
        <w:rPr/>
        <w:t xml:space="preserve">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w:t>
      </w:r>
      <w:r>
        <w:t>((</w:t>
      </w:r>
      <w:r>
        <w:rPr>
          <w:strike/>
        </w:rPr>
        <w:t xml:space="preserve">(a)</w:t>
      </w:r>
      <w:r>
        <w:t>))</w:t>
      </w:r>
      <w:r>
        <w:rPr/>
        <w:t xml:space="preserve"> </w:t>
      </w:r>
      <w:r>
        <w:rPr>
          <w:u w:val="single"/>
        </w:rPr>
        <w:t xml:space="preserve">(i)</w:t>
      </w:r>
      <w:r>
        <w:rPr/>
        <w:t xml:space="preserve"> public transportation vehicles, </w:t>
      </w:r>
      <w:r>
        <w:t>((</w:t>
      </w:r>
      <w:r>
        <w:rPr>
          <w:strike/>
        </w:rPr>
        <w:t xml:space="preserve">(b)</w:t>
      </w:r>
      <w:r>
        <w:t>))</w:t>
      </w:r>
      <w:r>
        <w:rPr/>
        <w:t xml:space="preserve"> </w:t>
      </w:r>
      <w:r>
        <w:rPr>
          <w:u w:val="single"/>
        </w:rPr>
        <w:t xml:space="preserve">(ii)</w:t>
      </w:r>
      <w:r>
        <w:rPr/>
        <w:t xml:space="preserve"> privately owned buses, </w:t>
      </w:r>
      <w:r>
        <w:t>((</w:t>
      </w:r>
      <w:r>
        <w:rPr>
          <w:strike/>
        </w:rPr>
        <w:t xml:space="preserve">(c)</w:t>
      </w:r>
      <w:r>
        <w:t>))</w:t>
      </w:r>
      <w:r>
        <w:rPr/>
        <w:t xml:space="preserve"> </w:t>
      </w:r>
      <w:r>
        <w:rPr>
          <w:u w:val="single"/>
        </w:rPr>
        <w:t xml:space="preserve">(iii)</w:t>
      </w:r>
      <w:r>
        <w:rPr/>
        <w:t xml:space="preserve"> motorcycles, </w:t>
      </w:r>
      <w:r>
        <w:t>((</w:t>
      </w:r>
      <w:r>
        <w:rPr>
          <w:strike/>
        </w:rPr>
        <w:t xml:space="preserve">(d)</w:t>
      </w:r>
      <w:r>
        <w:t>))</w:t>
      </w:r>
      <w:r>
        <w:rPr/>
        <w:t xml:space="preserve"> </w:t>
      </w:r>
      <w:r>
        <w:rPr>
          <w:u w:val="single"/>
        </w:rPr>
        <w:t xml:space="preserve">(iv)</w:t>
      </w:r>
      <w:r>
        <w:rPr/>
        <w:t xml:space="preserve"> private motor vehicles carrying not less than a specified number of passengers, or </w:t>
      </w:r>
      <w:r>
        <w:t>((</w:t>
      </w:r>
      <w:r>
        <w:rPr>
          <w:strike/>
        </w:rPr>
        <w:t xml:space="preserve">(e)</w:t>
      </w:r>
      <w:r>
        <w:t>))</w:t>
      </w:r>
      <w:r>
        <w:rPr/>
        <w:t xml:space="preserve"> </w:t>
      </w:r>
      <w:r>
        <w:rPr>
          <w:u w:val="single"/>
        </w:rPr>
        <w:t xml:space="preserve">(v)</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w:t>
      </w:r>
      <w:r>
        <w:t>((</w:t>
      </w:r>
      <w:r>
        <w:rPr>
          <w:strike/>
        </w:rPr>
        <w:t xml:space="preserve">(i)</w:t>
      </w:r>
      <w:r>
        <w:t>))</w:t>
      </w:r>
      <w:r>
        <w:rPr/>
        <w:t xml:space="preserve"> </w:t>
      </w:r>
      <w:r>
        <w:rPr>
          <w:u w:val="single"/>
        </w:rPr>
        <w:t xml:space="preserve">(A)</w:t>
      </w:r>
      <w:r>
        <w:rPr/>
        <w:t xml:space="preserve"> Auto transportation company vehicles regulated under chapter 81.68 RCW; </w:t>
      </w:r>
      <w:r>
        <w:t>((</w:t>
      </w:r>
      <w:r>
        <w:rPr>
          <w:strike/>
        </w:rPr>
        <w:t xml:space="preserve">(ii)</w:t>
      </w:r>
      <w:r>
        <w:t>))</w:t>
      </w:r>
      <w:r>
        <w:rPr/>
        <w:t xml:space="preserve"> </w:t>
      </w:r>
      <w:r>
        <w:rPr>
          <w:u w:val="single"/>
        </w:rPr>
        <w:t xml:space="preserve">(B)</w:t>
      </w:r>
      <w:r>
        <w:rPr/>
        <w:t xml:space="preserve"> passenger charter carrier vehicles regulated under chapter 81.70 RCW, except marked or unmarked stretch limousines and stretch sport utility vehicles as defined under department of licensing rules; </w:t>
      </w:r>
      <w:r>
        <w:t>((</w:t>
      </w:r>
      <w:r>
        <w:rPr>
          <w:strike/>
        </w:rPr>
        <w:t xml:space="preserve">(iii)</w:t>
      </w:r>
      <w:r>
        <w:t>))</w:t>
      </w:r>
      <w:r>
        <w:rPr/>
        <w:t xml:space="preserve"> </w:t>
      </w:r>
      <w:r>
        <w:rPr>
          <w:u w:val="single"/>
        </w:rPr>
        <w:t xml:space="preserve">(C)</w:t>
      </w:r>
      <w:r>
        <w:rPr/>
        <w:t xml:space="preserve"> private nonprofit transportation provider vehicles regulated under chapter 81.66 RCW; and </w:t>
      </w:r>
      <w:r>
        <w:t>((</w:t>
      </w:r>
      <w:r>
        <w:rPr>
          <w:strike/>
        </w:rPr>
        <w:t xml:space="preserve">(iv)</w:t>
      </w:r>
      <w:r>
        <w:t>))</w:t>
      </w:r>
      <w:r>
        <w:rPr/>
        <w:t xml:space="preserve"> </w:t>
      </w:r>
      <w:r>
        <w:rPr>
          <w:u w:val="single"/>
        </w:rPr>
        <w:t xml:space="preserve">(D)</w:t>
      </w:r>
      <w:r>
        <w:rPr/>
        <w:t xml:space="preserve">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u w:val="single"/>
        </w:rPr>
        <w:t xml:space="preserve">(b)(i) From June 1, 2023, until December 1, 2023, the department may not reserve any lane of Interstate 405 pursuant to (a) of this subsection, except between the hours of 5:00 a.m. and 9:00 a.m. and 3:00 p.m. and 7:00 p.m., Monday through Friday.</w:t>
      </w:r>
    </w:p>
    <w:p>
      <w:pPr>
        <w:spacing w:before="0" w:after="0" w:line="408" w:lineRule="exact"/>
        <w:ind w:left="0" w:right="0" w:firstLine="576"/>
        <w:jc w:val="left"/>
      </w:pPr>
      <w:r>
        <w:rPr>
          <w:u w:val="single"/>
        </w:rPr>
        <w:t xml:space="preserve">(ii) The department must provide a report to the transportation committees of the legislature by January 1, 2024, regarding limiting the hours of operation of the high occupancy vehicle lanes as required in this subsection (1)(b). The report must include, but is not limited to, the effect of this limitation on Interstate 405 on:</w:t>
      </w:r>
    </w:p>
    <w:p>
      <w:pPr>
        <w:spacing w:before="0" w:after="0" w:line="408" w:lineRule="exact"/>
        <w:ind w:left="0" w:right="0" w:firstLine="576"/>
        <w:jc w:val="left"/>
      </w:pPr>
      <w:r>
        <w:rPr>
          <w:u w:val="single"/>
        </w:rPr>
        <w:t xml:space="preserve">(A) The high occupancy vehicle lanes maintaining speeds of 45 miles per hour at least 90 percent of the time during peak periods;</w:t>
      </w:r>
    </w:p>
    <w:p>
      <w:pPr>
        <w:spacing w:before="0" w:after="0" w:line="408" w:lineRule="exact"/>
        <w:ind w:left="0" w:right="0" w:firstLine="576"/>
        <w:jc w:val="left"/>
      </w:pPr>
      <w:r>
        <w:rPr>
          <w:u w:val="single"/>
        </w:rPr>
        <w:t xml:space="preserve">(B) The average traffic speed in the general purpose lanes;</w:t>
      </w:r>
    </w:p>
    <w:p>
      <w:pPr>
        <w:spacing w:before="0" w:after="0" w:line="408" w:lineRule="exact"/>
        <w:ind w:left="0" w:right="0" w:firstLine="576"/>
        <w:jc w:val="left"/>
      </w:pPr>
      <w:r>
        <w:rPr>
          <w:u w:val="single"/>
        </w:rPr>
        <w:t xml:space="preserve">(C) Transit ridership;</w:t>
      </w:r>
    </w:p>
    <w:p>
      <w:pPr>
        <w:spacing w:before="0" w:after="0" w:line="408" w:lineRule="exact"/>
        <w:ind w:left="0" w:right="0" w:firstLine="576"/>
        <w:jc w:val="left"/>
      </w:pPr>
      <w:r>
        <w:rPr>
          <w:u w:val="single"/>
        </w:rPr>
        <w:t xml:space="preserve">(D) Travel times and volumes on adjacent local streets and state highways.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2019 c 421 s 11 are each amended to read as follows:</w:t>
      </w:r>
    </w:p>
    <w:p>
      <w:pPr>
        <w:spacing w:before="0" w:after="0" w:line="408" w:lineRule="exact"/>
        <w:ind w:left="0" w:right="0" w:firstLine="576"/>
        <w:jc w:val="left"/>
      </w:pPr>
      <w:r>
        <w:rPr/>
        <w:t xml:space="preserve">(1) The imposition of tolls for express toll lanes on Interstate 405 between Interstate 5 on the north end in the city of Lynnwood and Interstate 5 on the south end in the city of Tukwila, and for state route number 167 between Interstate 405 on the north end and state route number 512 on the south end is authorized. Interstate 405 and state route number 167 are designated an eligible toll facility, and toll revenue generated in the corridor must only be expended on the Interstate 405 and state route number 167 projects as identified in each corridor's master plan and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w:t>
      </w:r>
      <w:r>
        <w:rPr>
          <w:u w:val="single"/>
        </w:rPr>
        <w:t xml:space="preserve">(i)</w:t>
      </w:r>
      <w:r>
        <w:rPr/>
        <w:t xml:space="preserve">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u w:val="single"/>
        </w:rPr>
        <w:t xml:space="preserve">(ii)(A) From June 1, 2023, until December 1, 2023, toll charges may not be assessed in the express toll lanes except between the hours of 5:00 a.m. and 9:00 a.m. and 3:00 p.m. and 7:00 p.m., Monday through Friday.</w:t>
      </w:r>
    </w:p>
    <w:p>
      <w:pPr>
        <w:spacing w:before="0" w:after="0" w:line="408" w:lineRule="exact"/>
        <w:ind w:left="0" w:right="0" w:firstLine="576"/>
        <w:jc w:val="left"/>
      </w:pPr>
      <w:r>
        <w:rPr>
          <w:u w:val="single"/>
        </w:rPr>
        <w:t xml:space="preserve">(B) The department must provide a report to the transportation committees of the legislature by January 1, 2024, regarding limiting the hours of operation of the express toll lanes as required in (a)(ii)(A) of this subsection. The report must include, but is not limited to, the effect of this limitation on Interstate 405 on:</w:t>
      </w:r>
    </w:p>
    <w:p>
      <w:pPr>
        <w:spacing w:before="0" w:after="0" w:line="408" w:lineRule="exact"/>
        <w:ind w:left="0" w:right="0" w:firstLine="576"/>
        <w:jc w:val="left"/>
      </w:pPr>
      <w:r>
        <w:rPr>
          <w:u w:val="single"/>
        </w:rPr>
        <w:t xml:space="preserve">(I) The express toll lanes maintaining speeds of 45 miles per hour at least 90 percent of the time during peak periods;</w:t>
      </w:r>
    </w:p>
    <w:p>
      <w:pPr>
        <w:spacing w:before="0" w:after="0" w:line="408" w:lineRule="exact"/>
        <w:ind w:left="0" w:right="0" w:firstLine="576"/>
        <w:jc w:val="left"/>
      </w:pPr>
      <w:r>
        <w:rPr>
          <w:u w:val="single"/>
        </w:rPr>
        <w:t xml:space="preserve">(II) The average traffic speed in the general purpose lanes;</w:t>
      </w:r>
    </w:p>
    <w:p>
      <w:pPr>
        <w:spacing w:before="0" w:after="0" w:line="408" w:lineRule="exact"/>
        <w:ind w:left="0" w:right="0" w:firstLine="576"/>
        <w:jc w:val="left"/>
      </w:pPr>
      <w:r>
        <w:rPr>
          <w:u w:val="single"/>
        </w:rPr>
        <w:t xml:space="preserve">(III) Transit ridership;</w:t>
      </w:r>
    </w:p>
    <w:p>
      <w:pPr>
        <w:spacing w:before="0" w:after="0" w:line="408" w:lineRule="exact"/>
        <w:ind w:left="0" w:right="0" w:firstLine="576"/>
        <w:jc w:val="left"/>
      </w:pPr>
      <w:r>
        <w:rPr>
          <w:u w:val="single"/>
        </w:rPr>
        <w:t xml:space="preserve">(IV) The express toll lanes generating sufficient revenue to pay for all express toll lane-related operating costs; and</w:t>
      </w:r>
    </w:p>
    <w:p>
      <w:pPr>
        <w:spacing w:before="0" w:after="0" w:line="408" w:lineRule="exact"/>
        <w:ind w:left="0" w:right="0" w:firstLine="576"/>
        <w:jc w:val="left"/>
      </w:pPr>
      <w:r>
        <w:rPr>
          <w:u w:val="single"/>
        </w:rPr>
        <w:t xml:space="preserve">(V) Travel times and volumes on adjacent local streets and state highways.</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maintain the goal that average vehicle speeds in the lanes remain above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t xml:space="preserve">(f)(i) Toll charges may not be assessed on carpools with two or more people in the vehicle on the portion of Interstate 405 between Bellevue and state route number 167 for at least the first year following the initial imposition of tolls on that portion of the express toll lanes, contingent upon the analysis described in (f)(ii) of this subsection.</w:t>
      </w:r>
    </w:p>
    <w:p>
      <w:pPr>
        <w:spacing w:before="0" w:after="0" w:line="408" w:lineRule="exact"/>
        <w:ind w:left="0" w:right="0" w:firstLine="576"/>
        <w:jc w:val="left"/>
      </w:pPr>
      <w:r>
        <w:rPr/>
        <w:t xml:space="preserve">(ii) The department must analyze the effect of (f)(i) of this subsection utilizing forecasting and modeling data and present the results of the analysis to the tolling authority. If the analysis indicates that the express toll lanes on the portion of Interstate 405 between Bellevue and state route number 167 will not cover the financial obligations outlined in RCW 47.56.884(4), then the restriction on toll charges in (f)(i) of this subsection will not be implemented and the department must provide the transportation committees of the legislature with a report, within </w:t>
      </w:r>
      <w:r>
        <w:t>((</w:t>
      </w:r>
      <w:r>
        <w:rPr>
          <w:strike/>
        </w:rPr>
        <w:t xml:space="preserve">thirty</w:t>
      </w:r>
      <w:r>
        <w:t>))</w:t>
      </w:r>
      <w:r>
        <w:rPr/>
        <w:t xml:space="preserve"> </w:t>
      </w:r>
      <w:r>
        <w:rPr>
          <w:u w:val="single"/>
        </w:rPr>
        <w:t xml:space="preserve">30</w:t>
      </w:r>
      <w:r>
        <w:rPr/>
        <w:t xml:space="preserve"> days, that provides options for not assessing toll charges on carpools with two or more people in the vehicle, which also meet the financial obligations outlined in RCW 47.56.884(4).</w:t>
      </w:r>
    </w:p>
    <w:p>
      <w:pPr>
        <w:spacing w:before="0" w:after="0" w:line="408" w:lineRule="exact"/>
        <w:ind w:left="0" w:right="0" w:firstLine="576"/>
        <w:jc w:val="left"/>
      </w:pPr>
      <w:r>
        <w:rPr/>
        <w:t xml:space="preserve">(g) After the bonds issued pursuant to RCW 47.10.896(1)(a) are retired, the tolling authority must reduce the toll rates commensurate with this reduction in the amount of toll revenues required from the express toll lanes.</w:t>
      </w:r>
    </w:p>
    <w:p>
      <w:pPr>
        <w:spacing w:before="0" w:after="0" w:line="408" w:lineRule="exact"/>
        <w:ind w:left="0" w:right="0" w:firstLine="576"/>
        <w:jc w:val="left"/>
      </w:pPr>
      <w:r>
        <w:rPr/>
        <w:t xml:space="preserve">(3)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peak periods, and any alternate metric determined by the department in conjunction with the federal highway administration;</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express toll lane-related operating costs; and</w:t>
      </w:r>
    </w:p>
    <w:p>
      <w:pPr>
        <w:spacing w:before="0" w:after="0" w:line="408" w:lineRule="exact"/>
        <w:ind w:left="0" w:right="0" w:firstLine="576"/>
        <w:jc w:val="left"/>
      </w:pPr>
      <w:r>
        <w:rPr/>
        <w:t xml:space="preserve">(f) Whether travel times and volumes have increased or decreased on adjacent local streets and state highways.</w:t>
      </w:r>
    </w:p>
    <w:p>
      <w:pPr>
        <w:spacing w:before="0" w:after="0" w:line="408" w:lineRule="exact"/>
        <w:ind w:left="0" w:right="0" w:firstLine="576"/>
        <w:jc w:val="left"/>
      </w:pPr>
      <w:r>
        <w:rPr/>
        <w:t xml:space="preserve">(5) The department, in consultation with the transportation commission, shall consider making operational changes necessary to fix any unintended consequences of implementing the express toll lanes.</w:t>
      </w:r>
    </w:p>
    <w:p>
      <w:pPr>
        <w:spacing w:before="0" w:after="0" w:line="408" w:lineRule="exact"/>
        <w:ind w:left="0" w:right="0" w:firstLine="576"/>
        <w:jc w:val="left"/>
      </w:pPr>
      <w:r>
        <w:rPr/>
        <w:t xml:space="preserve">(6) A violation of the lane restrictions applicable to the express toll lanes established under this section is a traffic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c8c0c6221b9e41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a7bc821f64c5b" /><Relationship Type="http://schemas.openxmlformats.org/officeDocument/2006/relationships/footer" Target="/word/footer1.xml" Id="Rc8c0c6221b9e417b" /></Relationships>
</file>