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6e0bb409d4280" /></Relationships>
</file>

<file path=word/document.xml><?xml version="1.0" encoding="utf-8"?>
<w:document xmlns:w="http://schemas.openxmlformats.org/wordprocessingml/2006/main">
  <w:body>
    <w:p>
      <w:r>
        <w:t>H-0945.1</w:t>
      </w:r>
    </w:p>
    <w:p>
      <w:pPr>
        <w:jc w:val="center"/>
      </w:pPr>
      <w:r>
        <w:t>_______________________________________________</w:t>
      </w:r>
    </w:p>
    <w:p/>
    <w:p>
      <w:pPr>
        <w:jc w:val="center"/>
      </w:pPr>
      <w:r>
        <w:rPr>
          <w:b/>
        </w:rPr>
        <w:t>HOUSE BILL 1737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Morgan, Street, Kretz, Waters, Reeves, Reed, Entenman, Donaghy, Cheney, Walsh, Wylie, Stearns, Orwall, Taylor, Chapman, Berg, Graham, Gregerson, Ormsby, Ramel, Santos, Caldier, Pollet, Macri, and Fosse</w:t>
      </w:r>
    </w:p>
    <w:p/>
    <w:p>
      <w:r>
        <w:rPr>
          <w:t xml:space="preserve">Read first time 02/02/23.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reconciliation act; amending RCW 43.79.567;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amended to read as follows:</w:t>
      </w:r>
    </w:p>
    <w:p>
      <w:pPr>
        <w:spacing w:before="0" w:after="0" w:line="408" w:lineRule="exact"/>
        <w:ind w:left="0" w:right="0" w:firstLine="576"/>
        <w:jc w:val="left"/>
      </w:pPr>
      <w:r>
        <w:rPr/>
        <w:t xml:space="preserve">(1) The community </w:t>
      </w:r>
      <w:r>
        <w:t>((</w:t>
      </w:r>
      <w:r>
        <w:rPr>
          <w:strike/>
        </w:rPr>
        <w:t xml:space="preserve">reinvestment</w:t>
      </w:r>
      <w:r>
        <w:t>))</w:t>
      </w:r>
      <w:r>
        <w:rPr/>
        <w:t xml:space="preserve"> </w:t>
      </w:r>
      <w:r>
        <w:rPr>
          <w:u w:val="single"/>
        </w:rPr>
        <w:t xml:space="preserve">reconciliation</w:t>
      </w:r>
      <w:r>
        <w:rPr/>
        <w:t xml:space="preserve">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w:t>
      </w:r>
      <w:r>
        <w:t>((</w:t>
      </w:r>
      <w:r>
        <w:rPr>
          <w:strike/>
        </w:rPr>
        <w:t xml:space="preserve">and</w:t>
      </w:r>
      <w:r>
        <w:t>))</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r>
        <w:rPr>
          <w:u w:val="single"/>
        </w:rPr>
        <w:t xml:space="preserve">;</w:t>
      </w:r>
    </w:p>
    <w:p>
      <w:pPr>
        <w:spacing w:before="0" w:after="0" w:line="408" w:lineRule="exact"/>
        <w:ind w:left="0" w:right="0" w:firstLine="576"/>
        <w:jc w:val="left"/>
      </w:pPr>
      <w:r>
        <w:rPr>
          <w:u w:val="single"/>
        </w:rPr>
        <w:t xml:space="preserve">(e) Agricultural and economic support and services available to historically marginalized communities; and</w:t>
      </w:r>
    </w:p>
    <w:p>
      <w:pPr>
        <w:spacing w:before="0" w:after="0" w:line="408" w:lineRule="exact"/>
        <w:ind w:left="0" w:right="0" w:firstLine="576"/>
        <w:jc w:val="left"/>
      </w:pPr>
      <w:r>
        <w:rPr>
          <w:u w:val="single"/>
        </w:rPr>
        <w:t xml:space="preserve">(f) Programs or services that use a community assessment model that is evidence-based and aimed at addressing root causes of violence in communities and may include programs or services with one or more of the following goals:</w:t>
      </w:r>
    </w:p>
    <w:p>
      <w:pPr>
        <w:spacing w:before="0" w:after="0" w:line="408" w:lineRule="exact"/>
        <w:ind w:left="0" w:right="0" w:firstLine="576"/>
        <w:jc w:val="left"/>
      </w:pPr>
      <w:r>
        <w:rPr>
          <w:u w:val="single"/>
        </w:rPr>
        <w:t xml:space="preserve">(i) Increasing high school graduation rates and empowering school and life success for individuals;</w:t>
      </w:r>
    </w:p>
    <w:p>
      <w:pPr>
        <w:spacing w:before="0" w:after="0" w:line="408" w:lineRule="exact"/>
        <w:ind w:left="0" w:right="0" w:firstLine="576"/>
        <w:jc w:val="left"/>
      </w:pPr>
      <w:r>
        <w:rPr>
          <w:u w:val="single"/>
        </w:rPr>
        <w:t xml:space="preserve">(ii) Building a culture of empathy, equity, and connection and improving the quality of life of persons in a community through trauma-informed care;</w:t>
      </w:r>
    </w:p>
    <w:p>
      <w:pPr>
        <w:spacing w:before="0" w:after="0" w:line="408" w:lineRule="exact"/>
        <w:ind w:left="0" w:right="0" w:firstLine="576"/>
        <w:jc w:val="left"/>
      </w:pPr>
      <w:r>
        <w:rPr>
          <w:u w:val="single"/>
        </w:rPr>
        <w:t xml:space="preserve">(iii) Achieving positive health outcomes or enhancing resiliency such as by promoting nutrition, physical health, or mental health; and</w:t>
      </w:r>
    </w:p>
    <w:p>
      <w:pPr>
        <w:spacing w:before="0" w:after="0" w:line="408" w:lineRule="exact"/>
        <w:ind w:left="0" w:right="0" w:firstLine="576"/>
        <w:jc w:val="left"/>
      </w:pPr>
      <w:r>
        <w:rPr>
          <w:u w:val="single"/>
        </w:rPr>
        <w:t xml:space="preserve">(iv) Creating a supportive community environment</w:t>
      </w:r>
      <w:r>
        <w:rPr/>
        <w:t xml:space="preserve">.</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reconciliation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10eae123da7749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6503ac61804f45" /><Relationship Type="http://schemas.openxmlformats.org/officeDocument/2006/relationships/footer" Target="/word/footer1.xml" Id="R10eae123da774904" /></Relationships>
</file>