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cdba5b004849c3" /></Relationships>
</file>

<file path=word/document.xml><?xml version="1.0" encoding="utf-8"?>
<w:document xmlns:w="http://schemas.openxmlformats.org/wordprocessingml/2006/main">
  <w:body>
    <w:p>
      <w:r>
        <w:t>Z-0338.1</w:t>
      </w:r>
    </w:p>
    <w:p>
      <w:pPr>
        <w:jc w:val="center"/>
      </w:pPr>
      <w:r>
        <w:t>_______________________________________________</w:t>
      </w:r>
    </w:p>
    <w:p/>
    <w:p>
      <w:pPr>
        <w:jc w:val="center"/>
      </w:pPr>
      <w:r>
        <w:rPr>
          <w:b/>
        </w:rPr>
        <w:t>HOUSE BILL 1741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Leavitt, Reed, Callan, Davis, Berry, Paul, Ramel, Kloba, Reeves, Doglio, and Pollet; by request of Superintendent of Public Instruction</w:t>
      </w:r>
    </w:p>
    <w:p/>
    <w:p>
      <w:r>
        <w:rPr>
          <w:t xml:space="preserve">Read first time 02/03/23.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prototypical school formulas to support student health, well-being, and educational outcomes; amending RCW 28A.150.260;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 must provide education funding that corresponds to the cost of providing all students with the opportunity to learn through the state's statutory program of basic education. In section 905, chapter 13, Laws of 2017 and section 951, chapter 334, Laws of 2021, the state established a staffing enrichment work group and compensation work group to make recommendations on strengthening and enhancing the state's program of basic education. The legislature intends to realize the promise of these commitments and to improve student outcomes by increasing state allocations in a way that prioritizes staffing ratio increases to focus on reducing the opportunity gap, supporting the health and well-being of students, and enhancing the educational outcomes for all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w:t>
      </w:r>
      <w:r>
        <w:t>((</w:t>
      </w:r>
      <w:r>
        <w:rPr>
          <w:strike/>
        </w:rPr>
        <w:t xml:space="preserve">(9)</w:t>
      </w:r>
      <w:r>
        <w:t>))</w:t>
      </w:r>
      <w:r>
        <w:rPr/>
        <w:t xml:space="preserve"> </w:t>
      </w:r>
      <w:r>
        <w:rPr>
          <w:u w:val="single"/>
        </w:rPr>
        <w:t xml:space="preserve">(10)</w:t>
      </w:r>
      <w:r>
        <w:rPr/>
        <w:t xml:space="preserve">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r>
        <w:rPr>
          <w:u w:val="single"/>
        </w:rPr>
        <w:t xml:space="preserve">, to be increased as specified in the omnibus appropriations act until the values below are provided in the 2025-26 school year</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1.253</w:t>
            </w:r>
            <w:r>
              <w:t>))</w:t>
            </w:r>
            <w:r>
              <w:rPr>
                <w:rFonts w:ascii="Times New Roman" w:hAnsi="Times New Roman"/>
                <w:sz w:val="20"/>
              </w:rPr>
              <w:t xml:space="preserve"> </w:t>
            </w:r>
            <w:r>
              <w:rPr>
                <w:rFonts w:ascii="Times New Roman" w:hAnsi="Times New Roman"/>
                <w:sz w:val="20"/>
                <w:u w:val="single"/>
              </w:rPr>
              <w:t xml:space="preserve">1.334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1.353</w:t>
            </w:r>
            <w:r>
              <w:t>))</w:t>
            </w:r>
            <w:r>
              <w:rPr>
                <w:rFonts w:ascii="Times New Roman" w:hAnsi="Times New Roman"/>
                <w:sz w:val="20"/>
              </w:rPr>
              <w:t xml:space="preserve"> </w:t>
            </w:r>
            <w:r>
              <w:rPr>
                <w:rFonts w:ascii="Times New Roman" w:hAnsi="Times New Roman"/>
                <w:sz w:val="20"/>
                <w:u w:val="single"/>
              </w:rPr>
              <w:t xml:space="preserve">1.440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1.880</w:t>
            </w:r>
            <w:r>
              <w:t>))</w:t>
            </w:r>
            <w:r>
              <w:rPr>
                <w:rFonts w:ascii="Times New Roman" w:hAnsi="Times New Roman"/>
                <w:sz w:val="20"/>
              </w:rPr>
              <w:t xml:space="preserve"> </w:t>
            </w:r>
            <w:r>
              <w:rPr>
                <w:rFonts w:ascii="Times New Roman" w:hAnsi="Times New Roman"/>
                <w:sz w:val="20"/>
                <w:u w:val="single"/>
              </w:rPr>
              <w:t xml:space="preserve">2.000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0.993</w:t>
            </w:r>
            <w:r>
              <w:t>))</w:t>
            </w:r>
            <w:r>
              <w:rPr>
                <w:rFonts w:ascii="Times New Roman" w:hAnsi="Times New Roman"/>
                <w:sz w:val="20"/>
              </w:rPr>
              <w:t xml:space="preserve"> </w:t>
            </w:r>
            <w:r>
              <w:rPr>
                <w:rFonts w:ascii="Times New Roman" w:hAnsi="Times New Roman"/>
                <w:sz w:val="20"/>
                <w:u w:val="single"/>
              </w:rPr>
              <w:t xml:space="preserve">1.200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1.716</w:t>
            </w:r>
            <w:r>
              <w:t>))</w:t>
            </w:r>
            <w:r>
              <w:rPr>
                <w:rFonts w:ascii="Times New Roman" w:hAnsi="Times New Roman"/>
                <w:sz w:val="20"/>
              </w:rPr>
              <w:t xml:space="preserve"> </w:t>
            </w:r>
            <w:r>
              <w:rPr>
                <w:rFonts w:ascii="Times New Roman" w:hAnsi="Times New Roman"/>
                <w:sz w:val="20"/>
                <w:u w:val="single"/>
              </w:rPr>
              <w:t xml:space="preserve">2.500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3.039</w:t>
            </w:r>
            <w:r>
              <w:t>))</w:t>
            </w:r>
            <w:r>
              <w:rPr>
                <w:rFonts w:ascii="Times New Roman" w:hAnsi="Times New Roman"/>
                <w:sz w:val="20"/>
              </w:rPr>
              <w:t xml:space="preserve"> </w:t>
            </w:r>
            <w:r>
              <w:rPr>
                <w:rFonts w:ascii="Times New Roman" w:hAnsi="Times New Roman"/>
                <w:sz w:val="20"/>
                <w:u w:val="single"/>
              </w:rPr>
              <w:t xml:space="preserve">3.500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engagement</w:t>
            </w:r>
            <w:r>
              <w:rPr>
                <w:rFonts w:ascii="Times New Roman" w:hAnsi="Times New Roman"/>
                <w:sz w:val="20"/>
              </w:rPr>
              <w:t xml:space="preserve">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0.0825</w:t>
            </w:r>
            <w:r>
              <w:t>))</w:t>
            </w:r>
            <w:r>
              <w:rPr>
                <w:rFonts w:ascii="Times New Roman" w:hAnsi="Times New Roman"/>
                <w:sz w:val="20"/>
              </w:rPr>
              <w:t xml:space="preserve"> </w:t>
            </w:r>
            <w:r>
              <w:rPr>
                <w:rFonts w:ascii="Times New Roman" w:hAnsi="Times New Roman"/>
                <w:sz w:val="20"/>
                <w:u w:val="single"/>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1.000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Continuous improvement coaches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w:t>
      </w:r>
      <w:r>
        <w:t>((</w:t>
      </w:r>
      <w:r>
        <w:rPr>
          <w:strike/>
        </w:rPr>
        <w:t xml:space="preserve">(b)</w:t>
      </w:r>
      <w:r>
        <w:t>))</w:t>
      </w:r>
      <w:r>
        <w:rPr/>
        <w:t xml:space="preserve"> </w:t>
      </w:r>
      <w:r>
        <w:rPr>
          <w:u w:val="single"/>
        </w:rPr>
        <w:t xml:space="preserve">(c)</w:t>
      </w:r>
      <w:r>
        <w:rPr/>
        <w:t xml:space="preserve">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w:t>
      </w:r>
      <w:r>
        <w:rPr>
          <w:u w:val="single"/>
        </w:rPr>
        <w:t xml:space="preserve">In addition to the amounts provided in (a) of this subsection, beginning in the 2025-26 school year, the omnibus appropriations act shall provide the following minimum allocation for each annual average full-time equivalent student:</w:t>
      </w:r>
    </w:p>
    <w:p>
      <w:pPr>
        <w:spacing w:before="120" w:after="0" w:line="408" w:lineRule="exact"/>
        <w:ind w:left="0" w:right="0" w:firstLine="0"/>
        <w:jc w:val="left"/>
        <w:tabs>
          <w:tab w:val="right" w:leader="dot" w:pos="9936"/>
        </w:tabs>
      </w:pPr>
      <w:r>
        <w:rPr>
          <w:u w:val="single"/>
        </w:rPr>
        <w:t xml:space="preserve">Classroom supplies</w:t>
      </w:r>
      <w:r>
        <w:tab/>
      </w:r>
      <w:r>
        <w:rPr>
          <w:u w:val="single"/>
        </w:rPr>
        <w:t xml:space="preserve">$25.00</w:t>
      </w:r>
    </w:p>
    <w:p>
      <w:pPr>
        <w:spacing w:before="120" w:after="0" w:line="408" w:lineRule="exact"/>
        <w:ind w:left="0" w:right="0" w:firstLine="576"/>
        <w:jc w:val="left"/>
      </w:pPr>
      <w:r>
        <w:rPr>
          <w:u w:val="single"/>
        </w:rPr>
        <w:t xml:space="preserve">The superintendent of public instruction must write rules by September 1, 2025, prohibiting local education agencies from charging families directly or requiring mandatory donations of necessary consumable school supplies.</w:t>
      </w:r>
    </w:p>
    <w:p>
      <w:pPr>
        <w:spacing w:before="0" w:after="0" w:line="408" w:lineRule="exact"/>
        <w:ind w:left="0" w:right="0" w:firstLine="576"/>
        <w:jc w:val="left"/>
      </w:pPr>
      <w:r>
        <w:rPr>
          <w:u w:val="single"/>
        </w:rPr>
        <w:t xml:space="preserve">(c)</w:t>
      </w:r>
      <w:r>
        <w:rPr/>
        <w:t xml:space="preserve"> In addition to the amounts provided in (a) </w:t>
      </w:r>
      <w:r>
        <w:rPr>
          <w:u w:val="single"/>
        </w:rPr>
        <w:t xml:space="preserve">and (b)</w:t>
      </w:r>
      <w:r>
        <w:rPr/>
        <w:t xml:space="preserve">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w:t>
      </w:r>
      <w:r>
        <w:rPr>
          <w:u w:val="single"/>
        </w:rPr>
        <w:t xml:space="preserve">Beginning with the 2023-24 school year, funding for substitute costs for classroom teachers is based on 12 funded substitute days per classroom teacher unit generated under subsection (4) of this section, at a daily rate of $189.82.</w:t>
      </w:r>
    </w:p>
    <w:p>
      <w:pPr>
        <w:spacing w:before="120" w:after="0" w:line="408" w:lineRule="exact"/>
        <w:ind w:left="0" w:right="0" w:firstLine="576"/>
        <w:jc w:val="left"/>
      </w:pPr>
      <w:r>
        <w:rPr>
          <w:u w:val="single"/>
        </w:rPr>
        <w:t xml:space="preserve">(10)</w:t>
      </w:r>
      <w:r>
        <w:rPr/>
        <w:t xml:space="preserve">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w:t>
      </w:r>
      <w:r>
        <w:t>((</w:t>
      </w:r>
      <w:r>
        <w:rPr>
          <w:strike/>
        </w:rPr>
        <w:t xml:space="preserve">(10)</w:t>
      </w:r>
      <w:r>
        <w:t>))</w:t>
      </w:r>
      <w:r>
        <w:rPr/>
        <w:t xml:space="preserve"> </w:t>
      </w:r>
      <w:r>
        <w:rPr>
          <w:u w:val="single"/>
        </w:rPr>
        <w:t xml:space="preserve">(11)</w:t>
      </w:r>
      <w:r>
        <w:rPr/>
        <w:t xml:space="preserve">,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the purposes of allocations for prototypical high schools and middle schools under subsections (4) and </w:t>
      </w:r>
      <w:r>
        <w:t>((</w:t>
      </w:r>
      <w:r>
        <w:rPr>
          <w:strike/>
        </w:rPr>
        <w:t xml:space="preserve">(10)</w:t>
      </w:r>
      <w:r>
        <w:t>))</w:t>
      </w:r>
      <w:r>
        <w:rPr/>
        <w:t xml:space="preserve"> </w:t>
      </w:r>
      <w:r>
        <w:rPr>
          <w:u w:val="single"/>
        </w:rPr>
        <w:t xml:space="preserve">(11)</w:t>
      </w:r>
      <w:r>
        <w:rPr/>
        <w:t xml:space="preserve">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w:t>
      </w:r>
      <w:r>
        <w:t>((</w:t>
      </w:r>
      <w:r>
        <w:rPr>
          <w:strike/>
        </w:rPr>
        <w:t xml:space="preserve">(9)</w:t>
      </w:r>
      <w:r>
        <w:t>))</w:t>
      </w:r>
      <w:r>
        <w:rPr/>
        <w:t xml:space="preserve"> </w:t>
      </w:r>
      <w:r>
        <w:rPr>
          <w:u w:val="single"/>
        </w:rPr>
        <w:t xml:space="preserve">(10)</w:t>
      </w:r>
      <w:r>
        <w:rPr/>
        <w:t xml:space="preserve">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Salary allocations provided in the omnibus appropriations act shall be increased for the purpose of staff participation in professional development, until the values below are achieved in the 2025-26 school year.</w:t>
      </w:r>
    </w:p>
    <w:p>
      <w:pPr>
        <w:spacing w:before="120" w:after="0" w:line="408" w:lineRule="exact"/>
        <w:ind w:left="0" w:right="0" w:firstLine="0"/>
        <w:jc w:val="left"/>
        <w:tabs>
          <w:tab w:val="right" w:leader="dot" w:pos="9936"/>
        </w:tabs>
      </w:pPr>
      <w:r>
        <w:rPr/>
        <w:t xml:space="preserve">Certificated instructional staff</w:t>
      </w:r>
      <w:r>
        <w:tab/>
      </w:r>
      <w:r>
        <w:rPr/>
        <w:t xml:space="preserve">3.33%</w:t>
      </w:r>
    </w:p>
    <w:p>
      <w:pPr>
        <w:spacing w:before="0" w:after="0" w:line="408" w:lineRule="exact"/>
        <w:ind w:left="0" w:right="0" w:firstLine="0"/>
        <w:jc w:val="left"/>
        <w:tabs>
          <w:tab w:val="right" w:leader="dot" w:pos="9936"/>
        </w:tabs>
      </w:pPr>
      <w:r>
        <w:rPr/>
        <w:t xml:space="preserve">Classified staff</w:t>
      </w:r>
      <w:r>
        <w:tab/>
      </w:r>
      <w:r>
        <w:rPr/>
        <w:t xml:space="preserve">3.33%</w:t>
      </w:r>
    </w:p>
    <w:p>
      <w:pPr>
        <w:spacing w:before="0" w:after="0" w:line="408" w:lineRule="exact"/>
        <w:ind w:left="0" w:right="0" w:firstLine="0"/>
        <w:jc w:val="left"/>
        <w:tabs>
          <w:tab w:val="right" w:leader="dot" w:pos="9936"/>
        </w:tabs>
      </w:pPr>
      <w:r>
        <w:rPr/>
        <w:t xml:space="preserve">Certificated administrative staff</w:t>
      </w:r>
      <w:r>
        <w:tab/>
      </w:r>
      <w:r>
        <w:rPr/>
        <w:t xml:space="preserve">1.67%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2025.</w:t>
      </w:r>
    </w:p>
    <w:p/>
    <w:p>
      <w:pPr>
        <w:jc w:val="center"/>
      </w:pPr>
      <w:r>
        <w:rPr>
          <w:b/>
        </w:rPr>
        <w:t>--- END ---</w:t>
      </w:r>
    </w:p>
    <w:sectPr>
      <w:pgNumType w:start="1"/>
      <w:footerReference xmlns:r="http://schemas.openxmlformats.org/officeDocument/2006/relationships" r:id="R6c80d45fb1ef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759e30fc742e1" /><Relationship Type="http://schemas.openxmlformats.org/officeDocument/2006/relationships/footer" Target="/word/footer1.xml" Id="R6c80d45fb1ef4826" /></Relationships>
</file>