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d12880afb4b6f" /></Relationships>
</file>

<file path=word/document.xml><?xml version="1.0" encoding="utf-8"?>
<w:document xmlns:w="http://schemas.openxmlformats.org/wordprocessingml/2006/main">
  <w:body>
    <w:p>
      <w:r>
        <w:t>H-0909.3</w:t>
      </w:r>
    </w:p>
    <w:p>
      <w:pPr>
        <w:jc w:val="center"/>
      </w:pPr>
      <w:r>
        <w:t>_______________________________________________</w:t>
      </w:r>
    </w:p>
    <w:p/>
    <w:p>
      <w:pPr>
        <w:jc w:val="center"/>
      </w:pPr>
      <w:r>
        <w:rPr>
          <w:b/>
        </w:rPr>
        <w:t>HOUSE BILL 1744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Rude, Santos, Schmidt, and Pollet</w:t>
      </w:r>
    </w:p>
    <w:p/>
    <w:p>
      <w:r>
        <w:rPr>
          <w:t xml:space="preserve">Read first time 02/03/23.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responsibilities and accountability for the effective delivery and oversight of public education services to charter school students; amending RCW 28A.710.030, 28A.710.040, 28A.710.070, 28A.710.100, 28A.710.120, 28A.710.140, 28A.710.180, and 28A.710.190;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requirements governing the establishment and operations of charter schools have proven insufficient. While charter schools have experienced a steady growth in student enrollment, an unacceptably high number and percentage of these privately run public schools have closed in the decade since Washington voters authorized the establishment of charter schools. As a result, students, parents, and staff in several Puget Sound locations and in Walla Walla were left to make alternative arrangements for school and work, often unexpectedly and without adequate notice, when their charter school closed. Furthermore, in one western Washington charter school, the disappointment proved especially difficult as the charter school opened and permanently ceased operations within the span of a few months. Under no circumstances is an accountability and oversight failure of this nature acceptable to the many students, families, and staff that were profoundly impacted by the closure, or the general public.</w:t>
      </w:r>
    </w:p>
    <w:p>
      <w:pPr>
        <w:spacing w:before="0" w:after="0" w:line="408" w:lineRule="exact"/>
        <w:ind w:left="0" w:right="0" w:firstLine="576"/>
        <w:jc w:val="left"/>
      </w:pPr>
      <w:r>
        <w:rPr/>
        <w:t xml:space="preserve">(2) The legislature also finds that the establishment and operational challenges of charter schools are not limited to charter school closures: Charter schools have failed to properly and timely comply with teacher certification requirements; charter school boards have demonstrated ineffective leadership and oversight, with the results too often leading to charter school closures; and the charter school commission has authorized charter schools that were not prepared or otherwise able to deliver sustained education services in the manner set forth in their charter school application or charter contract, as evidenced by multiple charter school closures and the disruptions they created for students, families, and staff.</w:t>
      </w:r>
    </w:p>
    <w:p>
      <w:pPr>
        <w:spacing w:before="0" w:after="0" w:line="408" w:lineRule="exact"/>
        <w:ind w:left="0" w:right="0" w:firstLine="576"/>
        <w:jc w:val="left"/>
      </w:pPr>
      <w:r>
        <w:rPr/>
        <w:t xml:space="preserve">(3) The legislature authorized the establishment of charter schools in 2016 after the supreme court invalidated charter school laws adopted through a voter initiative. As a result, the legislature has an obligation to ensure that the responsibilities for the oversight of charter public schools are clearly delineated and adequate to ensure the highest standards of practices and public accountability. The legislature, therefore, intends to clarify responsibilities and increase the accountability measures governing the effective delivery and oversight of public education services to charter school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2016 c 241 s 103 are each amended to read as follows:</w:t>
      </w:r>
    </w:p>
    <w:p>
      <w:pPr>
        <w:spacing w:before="0" w:after="0" w:line="408" w:lineRule="exact"/>
        <w:ind w:left="0" w:right="0" w:firstLine="576"/>
        <w:jc w:val="left"/>
      </w:pPr>
      <w:r>
        <w:rPr/>
        <w:t xml:space="preserve">(1) To fulfill its duty to manage and operate the charter school, and to execute the terms of its charter contract, a charter school board may:</w:t>
      </w:r>
    </w:p>
    <w:p>
      <w:pPr>
        <w:spacing w:before="0" w:after="0" w:line="408" w:lineRule="exact"/>
        <w:ind w:left="0" w:right="0" w:firstLine="576"/>
        <w:jc w:val="left"/>
      </w:pPr>
      <w:r>
        <w:rPr/>
        <w:t xml:space="preserve">(a) Hire, manage, and discharge charter school employees in accordance with the terms of this chapter and the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pupil transportation services, and for the management and operation of the charter school, provided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 However, the charter public school may not pledge, assign, or encumber any public funds received or to be received pursuant to RCW 28A.710.220. Debt issued under this subsection (1)(e)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 or public or private entities, excluding sectarian or religious organizations. A charter school board may not accept any gifts or donations that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must contract for an independent performance audit of the school to be conducted: (a) The second year immediately following the school's first full school year of operation; and (b) every three years thereafter. The performance audit must be conducted in accordance with United States general accounting office government auditing standards. A performance audit in compliance with this section does not inhibit the state auditor's office from conducting a performance audit of the school.</w:t>
      </w:r>
    </w:p>
    <w:p>
      <w:pPr>
        <w:spacing w:before="0" w:after="0" w:line="408" w:lineRule="exact"/>
        <w:ind w:left="0" w:right="0" w:firstLine="576"/>
        <w:jc w:val="left"/>
      </w:pPr>
      <w:r>
        <w:rPr/>
        <w:t xml:space="preserve">(3) A charter school board may not levy taxes or issue tax-backed bonds.</w:t>
      </w:r>
    </w:p>
    <w:p>
      <w:pPr>
        <w:spacing w:before="0" w:after="0" w:line="408" w:lineRule="exact"/>
        <w:ind w:left="0" w:right="0" w:firstLine="576"/>
        <w:jc w:val="left"/>
      </w:pPr>
      <w:r>
        <w:rPr/>
        <w:t xml:space="preserve">(4) A charter school board may not acquire property by eminent domain.</w:t>
      </w:r>
    </w:p>
    <w:p>
      <w:pPr>
        <w:spacing w:before="0" w:after="0" w:line="408" w:lineRule="exact"/>
        <w:ind w:left="0" w:right="0" w:firstLine="576"/>
        <w:jc w:val="left"/>
      </w:pPr>
      <w:r>
        <w:rPr/>
        <w:t xml:space="preserve">(5) A charter school board, through website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0" w:after="0" w:line="408" w:lineRule="exact"/>
        <w:ind w:left="0" w:right="0" w:firstLine="576"/>
        <w:jc w:val="left"/>
      </w:pPr>
      <w:r>
        <w:rPr>
          <w:u w:val="single"/>
        </w:rPr>
        <w:t xml:space="preserve">(6) Each charter school board shall ensure that its members and administrative staff receive annual training to support the effective operation and oversight of the charter school, including compliance with requirements governing the employment of properly credentialed instructional staff, compliance with the requirements of chapters 42.30 and 42.56 RCW, and the permitted uses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w:t>
      </w:r>
      <w:r>
        <w:t>((</w:t>
      </w:r>
      <w:r>
        <w:rPr>
          <w:strike/>
        </w:rPr>
        <w:t xml:space="preserve">and</w:t>
      </w:r>
      <w:r>
        <w:t>))</w:t>
      </w:r>
      <w:r>
        <w:rPr>
          <w:u w:val="single"/>
        </w:rPr>
        <w:t xml:space="preserve">,</w:t>
      </w:r>
      <w:r>
        <w:rPr/>
        <w:t xml:space="preserve"> chapter 28A.640 RCW (sexual equality)</w:t>
      </w:r>
      <w:r>
        <w:rPr>
          <w:u w:val="single"/>
        </w:rPr>
        <w:t xml:space="preserve">, and chapter 28A.155 RCW (special education)</w:t>
      </w:r>
      <w:r>
        <w:rPr/>
        <w:t xml:space="preserve">;</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 learning requirements</w:t>
      </w:r>
      <w:r>
        <w:t>))</w:t>
      </w:r>
      <w:r>
        <w:rPr/>
        <w:t xml:space="preserve"> </w:t>
      </w:r>
      <w:r>
        <w:rPr>
          <w:u w:val="single"/>
        </w:rPr>
        <w:t xml:space="preserve">state learning 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r>
        <w:rPr>
          <w:u w:val="single"/>
        </w:rPr>
        <w:t xml:space="preserve">. Beginning November 1, 2023, and annually thereafter, charter schools shall report the employment of all noncertificated instructional staff hired in accordance with this subsection (2)(d) during the current and preceding school year to the executive director of the commission and the state board of education for inclusion in the annual report required by RCW 28A.710.250</w:t>
      </w:r>
      <w:r>
        <w:rPr/>
        <w:t xml:space="preserve">;</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w:t>
      </w:r>
      <w:r>
        <w:rPr>
          <w:u w:val="single"/>
        </w:rPr>
        <w:t xml:space="preserve">such as the Washington achievement index developed by the state board of education under RCW 28A.657.110</w:t>
      </w:r>
      <w:r>
        <w:rPr/>
        <w:t xml:space="preserve">,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2020 c 49 s 2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w:t>
      </w:r>
      <w:r>
        <w:t>((</w:t>
      </w:r>
      <w:r>
        <w:rPr>
          <w:strike/>
        </w:rPr>
        <w:t xml:space="preserve">authorize</w:t>
      </w:r>
      <w:r>
        <w:t>))</w:t>
      </w:r>
      <w:r>
        <w:rPr>
          <w:u w:val="single"/>
        </w:rPr>
        <w:t xml:space="preserve">:</w:t>
      </w:r>
    </w:p>
    <w:p>
      <w:pPr>
        <w:spacing w:before="0" w:after="0" w:line="408" w:lineRule="exact"/>
        <w:ind w:left="0" w:right="0" w:firstLine="576"/>
        <w:jc w:val="left"/>
      </w:pPr>
      <w:r>
        <w:rPr>
          <w:u w:val="single"/>
        </w:rPr>
        <w:t xml:space="preserve">(a) Authorize</w:t>
      </w:r>
      <w:r>
        <w:rPr/>
        <w:t xml:space="preserve"> high quality charter public schools throughout the state, especially schools that are designed to expand opportunities for at-risk students</w:t>
      </w:r>
      <w:r>
        <w:t>((</w:t>
      </w:r>
      <w:r>
        <w:rPr>
          <w:strike/>
        </w:rPr>
        <w:t xml:space="preserve">, and to ensure</w:t>
      </w:r>
      <w:r>
        <w:t>))</w:t>
      </w:r>
      <w:r>
        <w:rPr>
          <w:u w:val="single"/>
        </w:rPr>
        <w:t xml:space="preserve">;</w:t>
      </w:r>
    </w:p>
    <w:p>
      <w:pPr>
        <w:spacing w:before="0" w:after="0" w:line="408" w:lineRule="exact"/>
        <w:ind w:left="0" w:right="0" w:firstLine="576"/>
        <w:jc w:val="left"/>
      </w:pPr>
      <w:r>
        <w:rPr>
          <w:u w:val="single"/>
        </w:rPr>
        <w:t xml:space="preserve">(b) Ensure</w:t>
      </w:r>
      <w:r>
        <w:rPr/>
        <w:t xml:space="preserve"> the highest standards of accountability and oversight for these schools</w:t>
      </w:r>
      <w:r>
        <w:rPr>
          <w:u w:val="single"/>
        </w:rPr>
        <w:t xml:space="preserve">; and</w:t>
      </w:r>
    </w:p>
    <w:p>
      <w:pPr>
        <w:spacing w:before="0" w:after="0" w:line="408" w:lineRule="exact"/>
        <w:ind w:left="0" w:right="0" w:firstLine="576"/>
        <w:jc w:val="left"/>
      </w:pPr>
      <w:r>
        <w:rPr>
          <w:u w:val="single"/>
        </w:rPr>
        <w:t xml:space="preserve">(c) Ensure that students in charter schools authorized under this chapter have opportunities for academic success that are not disrupted by unsatisfactory educational, operational, or financial oversight of the charter school, the charter school board, or both</w:t>
      </w:r>
      <w:r>
        <w:rPr/>
        <w:t xml:space="preserve">.</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t xml:space="preserve">(9) The commission shall reside within the office of the superintendent of public instruction for administrative purposes only.</w:t>
      </w:r>
    </w:p>
    <w:p>
      <w:pPr>
        <w:spacing w:before="0" w:after="0" w:line="408" w:lineRule="exact"/>
        <w:ind w:left="0" w:right="0" w:firstLine="576"/>
        <w:jc w:val="left"/>
      </w:pPr>
      <w:r>
        <w:rPr/>
        <w:t xml:space="preserve">(10)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2016 c 241 s 110 are each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w:t>
      </w:r>
      <w:r>
        <w:rPr>
          <w:u w:val="single"/>
        </w:rPr>
        <w:t xml:space="preserve">Ensuring that students in charter schools they authorize will have opportunities for academic success that are not disrupted by unsatisfactory educational, operational, or financial oversight of the charter school, the charter school board, or both;</w:t>
      </w:r>
    </w:p>
    <w:p>
      <w:pPr>
        <w:spacing w:before="0" w:after="0" w:line="408" w:lineRule="exact"/>
        <w:ind w:left="0" w:right="0" w:firstLine="576"/>
        <w:jc w:val="left"/>
      </w:pPr>
      <w:r>
        <w:rPr>
          <w:u w:val="single"/>
        </w:rPr>
        <w:t xml:space="preserve">(b)</w:t>
      </w:r>
      <w:r>
        <w:rPr/>
        <w:t xml:space="preserve"> Soliciting and evaluating charter applications;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Approving charter applications that meet identified educational needs and promote a diversity of educational choices;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Denying charter applications that fail to meet statutory requirements, requirements of the authorizer, or both;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Negotiating and executing charter contracts with each authorized charter school;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Monitoring, in accordance with charter contract terms, the performance and legal compliance of charter schools including, without limitation, education and academic performance goals and student achievement;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Determining whether each charter contract merits renewal, nonrenewal, or revocation</w:t>
      </w:r>
      <w:r>
        <w:rPr>
          <w:u w:val="single"/>
        </w:rPr>
        <w:t xml:space="preserve">; and</w:t>
      </w:r>
    </w:p>
    <w:p>
      <w:pPr>
        <w:spacing w:before="0" w:after="0" w:line="408" w:lineRule="exact"/>
        <w:ind w:left="0" w:right="0" w:firstLine="576"/>
        <w:jc w:val="left"/>
      </w:pPr>
      <w:r>
        <w:rPr>
          <w:u w:val="single"/>
        </w:rPr>
        <w:t xml:space="preserve">(h) Ensuring that charter school boards comply with the annual training requirements in RCW 28A.710.030(6)</w:t>
      </w:r>
      <w:r>
        <w:rPr/>
        <w:t xml:space="preserve">.</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 that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under its jurisdiction,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(i) Approved but not yet open; (ii) operating; (iii) renewed; (iv) transferred; (v) revoked; (vi) not renewed; (vii) voluntarily closed; or (viii)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2016 c 241 s 112 are each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 </w:t>
      </w:r>
      <w:r>
        <w:rPr>
          <w:u w:val="single"/>
        </w:rPr>
        <w:t xml:space="preserve">and the commission</w:t>
      </w:r>
      <w:r>
        <w:rPr/>
        <w:t xml:space="preserve">.</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w:t>
      </w:r>
      <w:r>
        <w:rPr>
          <w:u w:val="single"/>
        </w:rPr>
        <w:t xml:space="preserve">a high percentage of charter school closures during the preceding 10-year period,</w:t>
      </w:r>
      <w:r>
        <w:rPr/>
        <w:t xml:space="preserve">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state board of education must apply nationally recognized principles and standards for quality charter authorizing. Evidence of material or persistent failure by an authorizer to carry out its duties in accordance with these principles and standards constitutes grounds for revocation of the authorizing contract by the state board of education,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must have reasonable opportunity to respond and remedy the problems.</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Except as provided otherwise in subsection (7) of this section if</w:t>
      </w:r>
      <w:r>
        <w:rPr/>
        <w:t xml:space="preserve">, after due notice from the state board of education, an authorizer persists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w:t>
      </w:r>
      <w:r>
        <w:rPr>
          <w:u w:val="single"/>
        </w:rPr>
        <w:t xml:space="preserve">If the commission is the subject of the special review under this section, the state board of education shall have one year from the initiation of its review to complete the review and provide a report with findings and recommendations, including any recommendations for statutory revisions it deems necessary, to the governor, the superintendent of public instruction, and the appropriate committees of the house of representatives and the senate.</w:t>
      </w:r>
    </w:p>
    <w:p>
      <w:pPr>
        <w:spacing w:before="0" w:after="0" w:line="408" w:lineRule="exact"/>
        <w:ind w:left="0" w:right="0" w:firstLine="576"/>
        <w:jc w:val="left"/>
      </w:pPr>
      <w:r>
        <w:rPr>
          <w:u w:val="single"/>
        </w:rPr>
        <w:t xml:space="preserve">(8)</w:t>
      </w:r>
      <w:r>
        <w:rPr/>
        <w:t xml:space="preserve">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2016 c 241 s 114 are each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 that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 However, nothing in this chapter may be construed as intended to limit the establishment of charter schools to those that serve a substantial portion of at-risk students,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to learn about and provide input on each application in a public forum including, without limitation, parents, community members, local residents, and school district board members and staff.</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w:t>
      </w:r>
      <w:r>
        <w:t>((</w:t>
      </w:r>
      <w:r>
        <w:rPr>
          <w:strike/>
        </w:rPr>
        <w:t xml:space="preserve">and</w:t>
      </w:r>
      <w:r>
        <w:t>))</w:t>
      </w:r>
      <w:r>
        <w:rPr>
          <w:u w:val="single"/>
        </w:rPr>
        <w:t xml:space="preserve">,</w:t>
      </w:r>
      <w:r>
        <w:rPr/>
        <w:t xml:space="preserve"> operate</w:t>
      </w:r>
      <w:r>
        <w:rPr>
          <w:u w:val="single"/>
        </w:rPr>
        <w:t xml:space="preserve">, and ensure the financial viability of</w:t>
      </w:r>
      <w:r>
        <w:rPr/>
        <w:t xml:space="preserve"> a successful charter public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2016 c 241 s 118 are each amended to read as follows:</w:t>
      </w:r>
    </w:p>
    <w:p>
      <w:pPr>
        <w:spacing w:before="0" w:after="0" w:line="408" w:lineRule="exact"/>
        <w:ind w:left="0" w:right="0" w:firstLine="576"/>
        <w:jc w:val="left"/>
      </w:pPr>
      <w:r>
        <w:rPr/>
        <w:t xml:space="preserve">(1) Each authorizer must continually monitor the performance and legal compliance of the charter schools under its jurisdiction,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w:t>
      </w:r>
      <w:r>
        <w:t>((</w:t>
      </w:r>
      <w:r>
        <w:rPr>
          <w:strike/>
        </w:rPr>
        <w:t xml:space="preserve">, if those activities are consistent with the intent of this chapter, adhere to the terms of the charter contract, and do not unduly inhibit the autonomy granted to charter schools</w:t>
      </w:r>
      <w:r>
        <w:t>))</w:t>
      </w:r>
      <w:r>
        <w:rPr/>
        <w:t xml:space="preserve">. </w:t>
      </w:r>
      <w:r>
        <w:rPr>
          <w:u w:val="single"/>
        </w:rPr>
        <w:t xml:space="preserve">Examples of permitted reasons for conducting or requiring oversight activities under this section include: The persistent unsatisfactory performance of a charter school; a pattern of well-founded complaints about a charter school; or other objective circumstances.</w:t>
      </w:r>
    </w:p>
    <w:p>
      <w:pPr>
        <w:spacing w:before="0" w:after="0" w:line="408" w:lineRule="exact"/>
        <w:ind w:left="0" w:right="0" w:firstLine="576"/>
        <w:jc w:val="left"/>
      </w:pPr>
      <w:r>
        <w:rPr/>
        <w:t xml:space="preserve">(3) In the event that a charter school's performance</w:t>
      </w:r>
      <w:r>
        <w:rPr>
          <w:u w:val="single"/>
        </w:rPr>
        <w:t xml:space="preserve">, financial status,</w:t>
      </w:r>
      <w:r>
        <w:rPr/>
        <w:t xml:space="preserve"> or legal compliance appears unsatisfactory, the authorizer must promptly notify the school of the perceived problem and provide reasonable opportunity for the school to remedy the problem. However, if the problem warrants revocation of the charter contract,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These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2016 c 241 s 119 are each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 The authorizer, however, may vary the term based on the performance, demonstrated capacities, and particular circumstances of a charter school,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the charter school. The performance report must summarize the charter school's performance record to date based on the data required by the charter contract, and must provide notice of any weaknesses or concerns perceived by the authorizer concerning the charter school that may, if not timely rectified, jeopardize its position in seeking renewal.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and this criteria must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rPr>
          <w:u w:val="single"/>
        </w:rPr>
        <w:t xml:space="preserve">Ensure that students in the charter school will have opportunities for academic success that are not disrupted by unsatisfactory educational, operational, or financial oversight of the charter school, the charter school board, or both;</w:t>
      </w:r>
    </w:p>
    <w:p>
      <w:pPr>
        <w:spacing w:before="0" w:after="0" w:line="408" w:lineRule="exact"/>
        <w:ind w:left="0" w:right="0" w:firstLine="576"/>
        <w:jc w:val="left"/>
      </w:pPr>
      <w:r>
        <w:rPr>
          <w:u w:val="single"/>
        </w:rPr>
        <w:t xml:space="preserve">(b)</w:t>
      </w:r>
      <w:r>
        <w:rPr/>
        <w:t xml:space="preserve"> Base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Ensure that data used in making renewal decisions are available to the school and the public;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Provide a public report summarizing the evidence basis for its decision.</w:t>
      </w:r>
    </w:p>
    <w:p/>
    <w:p>
      <w:pPr>
        <w:jc w:val="center"/>
      </w:pPr>
      <w:r>
        <w:rPr>
          <w:b/>
        </w:rPr>
        <w:t>--- END ---</w:t>
      </w:r>
    </w:p>
    <w:sectPr>
      <w:pgNumType w:start="1"/>
      <w:footerReference xmlns:r="http://schemas.openxmlformats.org/officeDocument/2006/relationships" r:id="R50229452495d4c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35ba8ecf64722" /><Relationship Type="http://schemas.openxmlformats.org/officeDocument/2006/relationships/footer" Target="/word/footer1.xml" Id="R50229452495d4ce5" /></Relationships>
</file>