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e5df5cc9646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Fitzgibbon, Chapman, Morgan, and Reed)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for certain hatchery maintenance activities; amending RCW 90.58.355;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hatchery programs require routine maintenance in order to keep them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2021 c 299 s 1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w:t>
      </w:r>
    </w:p>
    <w:p>
      <w:pPr>
        <w:spacing w:before="0" w:after="0" w:line="408" w:lineRule="exact"/>
        <w:ind w:left="0" w:right="0" w:firstLine="576"/>
        <w:jc w:val="left"/>
      </w:pPr>
      <w:r>
        <w:rPr/>
        <w:t xml:space="preserve">(3) The department of transportation projects and activities that meet the conditions of RCW 90.58.356; </w:t>
      </w:r>
      <w:r>
        <w:t>((</w:t>
      </w:r>
      <w:r>
        <w:rPr>
          <w:strike/>
        </w:rPr>
        <w:t xml:space="preserve">or</w:t>
      </w:r>
      <w:r>
        <w:t>))</w:t>
      </w:r>
    </w:p>
    <w:p>
      <w:pPr>
        <w:spacing w:before="0" w:after="0" w:line="408" w:lineRule="exact"/>
        <w:ind w:left="0" w:right="0" w:firstLine="576"/>
        <w:jc w:val="left"/>
      </w:pPr>
      <w:r>
        <w:rPr/>
        <w:t xml:space="preserve">(4) </w:t>
      </w:r>
      <w:r>
        <w:rPr>
          <w:u w:val="single"/>
        </w:rPr>
        <w:t xml:space="preserve">Projects and activities undertaken by the department of fish and wildlife, a federally recognized Indian tribe, or a public utility district that meet the conditions of section 3 of this act; or</w:t>
      </w:r>
    </w:p>
    <w:p>
      <w:pPr>
        <w:spacing w:before="0" w:after="0" w:line="408" w:lineRule="exact"/>
        <w:ind w:left="0" w:right="0" w:firstLine="576"/>
        <w:jc w:val="left"/>
      </w:pPr>
      <w:r>
        <w:rPr>
          <w:u w:val="single"/>
        </w:rPr>
        <w:t xml:space="preserve">(5)</w:t>
      </w:r>
      <w:r>
        <w:rPr/>
        <w:t xml:space="preserve">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following maintenance activities undertaken by the department of fish and wildlife, a federally recognized Indian tribe, or a public utility district, necessary to maintain the operation of fish hatcheries, including water intakes and discharges, fish ladders, water and power conveyances, weirs, and racks and traps used for fish collection,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of equipment and components that support the larger hatchery facility and occur within the existing footprint of fish hatchery facilities;</w:t>
      </w:r>
    </w:p>
    <w:p>
      <w:pPr>
        <w:spacing w:before="0" w:after="0" w:line="408" w:lineRule="exact"/>
        <w:ind w:left="0" w:right="0" w:firstLine="576"/>
        <w:jc w:val="left"/>
      </w:pPr>
      <w:r>
        <w:rPr/>
        <w:t xml:space="preserve">(b) Construction or installation of safety structures and equipment;</w:t>
      </w:r>
    </w:p>
    <w:p>
      <w:pPr>
        <w:spacing w:before="0" w:after="0" w:line="408" w:lineRule="exact"/>
        <w:ind w:left="0" w:right="0" w:firstLine="576"/>
        <w:jc w:val="left"/>
      </w:pPr>
      <w:r>
        <w:rPr/>
        <w:t xml:space="preserve">(c) Maintenance occurring within existing water intake and outflow sites during times when fish presence is minimized;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operation of a fish hatchery facility.</w:t>
      </w:r>
    </w:p>
    <w:p>
      <w:pPr>
        <w:spacing w:before="0" w:after="0" w:line="408" w:lineRule="exact"/>
        <w:ind w:left="0" w:right="0" w:firstLine="576"/>
        <w:jc w:val="left"/>
      </w:pPr>
      <w:r>
        <w:rPr/>
        <w:t xml:space="preserve">(2) The proponent of a project undertaken pursuant to this section must ensure compliance with the substantive requirements of this chapter for projects under this section. Projects undertaken under this section must not adversely affect public access or shoreline ecological functions.</w:t>
      </w:r>
    </w:p>
    <w:p>
      <w:pPr>
        <w:spacing w:before="0" w:after="0" w:line="408" w:lineRule="exact"/>
        <w:ind w:left="0" w:right="0" w:firstLine="576"/>
        <w:jc w:val="left"/>
      </w:pPr>
      <w:r>
        <w:rPr/>
        <w:t xml:space="preserve">(3) Prior to beginning a maintenance or repair project, the proponent of the project must provide written notification of projects authorized under this section to the local government with jurisdiction and to the department.</w:t>
      </w:r>
    </w:p>
    <w:p/>
    <w:p>
      <w:pPr>
        <w:jc w:val="center"/>
      </w:pPr>
      <w:r>
        <w:rPr>
          <w:b/>
        </w:rPr>
        <w:t>--- END ---</w:t>
      </w:r>
    </w:p>
    <w:sectPr>
      <w:pgNumType w:start="1"/>
      <w:footerReference xmlns:r="http://schemas.openxmlformats.org/officeDocument/2006/relationships" r:id="R581776f5b6cf48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8ecf4ef3b4edd" /><Relationship Type="http://schemas.openxmlformats.org/officeDocument/2006/relationships/footer" Target="/word/footer1.xml" Id="R581776f5b6cf4856" /></Relationships>
</file>