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b45d289e7499b" /></Relationships>
</file>

<file path=word/document.xml><?xml version="1.0" encoding="utf-8"?>
<w:document xmlns:w="http://schemas.openxmlformats.org/wordprocessingml/2006/main">
  <w:body>
    <w:p>
      <w:r>
        <w:t>H-1520.1</w:t>
      </w:r>
    </w:p>
    <w:p>
      <w:pPr>
        <w:jc w:val="center"/>
      </w:pPr>
      <w:r>
        <w:t>_______________________________________________</w:t>
      </w:r>
    </w:p>
    <w:p/>
    <w:p>
      <w:pPr>
        <w:jc w:val="center"/>
      </w:pPr>
      <w:r>
        <w:rPr>
          <w:b/>
        </w:rPr>
        <w:t>SUBSTITUTE HOUSE BILL 1804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 Steele)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participation in the public employees' benefits board for retired or disabled employees of counties, municipalities, and other political subdivisions; amending RCW 41.05.080; adding a new section to chapter 41.05;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w:t>
      </w:r>
      <w:r>
        <w:t>))</w:t>
      </w:r>
      <w:r>
        <w:rPr/>
        <w:t xml:space="preserve"> </w:t>
      </w:r>
      <w:r>
        <w:rPr>
          <w:u w:val="single"/>
        </w:rPr>
        <w:t xml:space="preserve">counties, municipalities</w:t>
      </w:r>
      <w:r>
        <w:rPr/>
        <w:t xml:space="preserve">, or other political subdivisions, or retired or disabled employees of tribal governments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a county, municipality, or other political subdivision whose contractual agreement with the authority terminates may continue their participation in insurance plans and contracts after the contractual agreement is terminated. The retired or disabled employees of a county, municipality, or other political subdivision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county, municipality, or other political subdivision participating as part of the employer group terminates the contractual participation in the insurance plans and contracts for employees and retirees, that employer group participant must pay an amount to the health care authority determined to be actuarially equivalent to the present value of the cost of the employer's retirees' continued participation in the community-rated risk pool established in RCW 41.05.022(2).</w:t>
      </w:r>
    </w:p>
    <w:p>
      <w:pPr>
        <w:spacing w:before="0" w:after="0" w:line="408" w:lineRule="exact"/>
        <w:ind w:left="0" w:right="0" w:firstLine="576"/>
        <w:jc w:val="left"/>
      </w:pPr>
      <w:r>
        <w:rPr/>
        <w:t xml:space="preserve">(2) Any retired or disabled employee whose participation in insurance plans or contracts under RCW 41.05.080(1)(a)(ii) ended due to the termination of the contractual agreement between the authority and a county, municipality, or other political subdivision on or before January 1, 2023, must be allowed to return and participate in insurance plans and contracts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894b13c19a40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ca598752445b1" /><Relationship Type="http://schemas.openxmlformats.org/officeDocument/2006/relationships/footer" Target="/word/footer1.xml" Id="Rb9894b13c19a4036" /></Relationships>
</file>