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539a833d23441a" /></Relationships>
</file>

<file path=word/document.xml><?xml version="1.0" encoding="utf-8"?>
<w:document xmlns:w="http://schemas.openxmlformats.org/wordprocessingml/2006/main">
  <w:body>
    <w:p>
      <w:r>
        <w:t>H-1252.1</w:t>
      </w:r>
    </w:p>
    <w:p>
      <w:pPr>
        <w:jc w:val="center"/>
      </w:pPr>
      <w:r>
        <w:t>_______________________________________________</w:t>
      </w:r>
    </w:p>
    <w:p/>
    <w:p>
      <w:pPr>
        <w:jc w:val="center"/>
      </w:pPr>
      <w:r>
        <w:rPr>
          <w:b/>
        </w:rPr>
        <w:t>HOUSE BILL 1828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and Leavitt</w:t>
      </w:r>
    </w:p>
    <w:p/>
    <w:p>
      <w:r>
        <w:rPr>
          <w:t xml:space="preserve">Read first time 02/15/23.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discretionary decline hearings; and amending RCW 13.40.110.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2019 c 322 s 10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is, at the time of proceedings, at least </w:t>
      </w:r>
      <w:r>
        <w:t>((</w:t>
      </w:r>
      <w:r>
        <w:rPr>
          <w:strike/>
        </w:rPr>
        <w:t xml:space="preserve">fifteen</w:t>
      </w:r>
      <w:r>
        <w:t>))</w:t>
      </w:r>
      <w:r>
        <w:rPr/>
        <w:t xml:space="preserve"> </w:t>
      </w:r>
      <w:r>
        <w:rPr>
          <w:u w:val="single"/>
        </w:rPr>
        <w:t xml:space="preserve">15</w:t>
      </w:r>
      <w:r>
        <w:rPr/>
        <w:t xml:space="preserve"> years of age or older and is charged with a serious violent offense as defined in RCW 9.94A.030;</w:t>
      </w:r>
    </w:p>
    <w:p>
      <w:pPr>
        <w:spacing w:before="0" w:after="0" w:line="408" w:lineRule="exact"/>
        <w:ind w:left="0" w:right="0" w:firstLine="576"/>
        <w:jc w:val="left"/>
      </w:pPr>
      <w:r>
        <w:rPr/>
        <w:t xml:space="preserve">(b) The respondent is, at the time of proceedings, </w:t>
      </w:r>
      <w:r>
        <w:t>((</w:t>
      </w:r>
      <w:r>
        <w:rPr>
          <w:strike/>
        </w:rPr>
        <w:t xml:space="preserve">fourteen</w:t>
      </w:r>
      <w:r>
        <w:t>))</w:t>
      </w:r>
      <w:r>
        <w:rPr/>
        <w:t xml:space="preserve"> </w:t>
      </w:r>
      <w:r>
        <w:rPr>
          <w:u w:val="single"/>
        </w:rPr>
        <w:t xml:space="preserve">14</w:t>
      </w:r>
      <w:r>
        <w:rPr/>
        <w:t xml:space="preserve"> years of age or younger and is charged with </w:t>
      </w:r>
      <w:r>
        <w:t>((</w:t>
      </w:r>
      <w:r>
        <w:rPr>
          <w:strike/>
        </w:rPr>
        <w:t xml:space="preserve">murder</w:t>
      </w:r>
      <w:r>
        <w:t>))</w:t>
      </w:r>
      <w:r>
        <w:rPr/>
        <w:t xml:space="preserve"> </w:t>
      </w:r>
      <w:r>
        <w:rPr>
          <w:u w:val="single"/>
        </w:rPr>
        <w:t xml:space="preserve">any of the following offenses:</w:t>
      </w:r>
    </w:p>
    <w:p>
      <w:pPr>
        <w:spacing w:before="0" w:after="0" w:line="408" w:lineRule="exact"/>
        <w:ind w:left="0" w:right="0" w:firstLine="576"/>
        <w:jc w:val="left"/>
      </w:pPr>
      <w:r>
        <w:rPr>
          <w:u w:val="single"/>
        </w:rPr>
        <w:t xml:space="preserve">(i) Murder</w:t>
      </w:r>
      <w:r>
        <w:rPr/>
        <w:t xml:space="preserve"> in the first degree (RCW 9A.32.030)</w:t>
      </w:r>
      <w:r>
        <w:t>((</w:t>
      </w:r>
      <w:r>
        <w:rPr>
          <w:strike/>
        </w:rPr>
        <w:t xml:space="preserve">, and/or murder</w:t>
      </w:r>
      <w:r>
        <w:t>))</w:t>
      </w:r>
      <w:r>
        <w:rPr/>
        <w:t xml:space="preserve"> </w:t>
      </w:r>
      <w:r>
        <w:rPr>
          <w:u w:val="single"/>
        </w:rPr>
        <w:t xml:space="preserve">or an attempt to commit that offense;</w:t>
      </w:r>
    </w:p>
    <w:p>
      <w:pPr>
        <w:spacing w:before="0" w:after="0" w:line="408" w:lineRule="exact"/>
        <w:ind w:left="0" w:right="0" w:firstLine="576"/>
        <w:jc w:val="left"/>
      </w:pPr>
      <w:r>
        <w:rPr>
          <w:u w:val="single"/>
        </w:rPr>
        <w:t xml:space="preserve">(ii) Murder</w:t>
      </w:r>
      <w:r>
        <w:rPr/>
        <w:t xml:space="preserve"> in the second degree (RCW 9A.32.050) </w:t>
      </w:r>
      <w:r>
        <w:rPr>
          <w:u w:val="single"/>
        </w:rPr>
        <w:t xml:space="preserve">or an attempt to commit that offense;</w:t>
      </w:r>
    </w:p>
    <w:p>
      <w:pPr>
        <w:spacing w:before="0" w:after="0" w:line="408" w:lineRule="exact"/>
        <w:ind w:left="0" w:right="0" w:firstLine="576"/>
        <w:jc w:val="left"/>
      </w:pPr>
      <w:r>
        <w:rPr>
          <w:u w:val="single"/>
        </w:rPr>
        <w:t xml:space="preserve">(iii) Assault in the first degree (RCW 9A.36.011);</w:t>
      </w:r>
    </w:p>
    <w:p>
      <w:pPr>
        <w:spacing w:before="0" w:after="0" w:line="408" w:lineRule="exact"/>
        <w:ind w:left="0" w:right="0" w:firstLine="576"/>
        <w:jc w:val="left"/>
      </w:pPr>
      <w:r>
        <w:rPr>
          <w:u w:val="single"/>
        </w:rPr>
        <w:t xml:space="preserve">(iv) Rape in the first degree (RCW 9A.44.040);</w:t>
      </w:r>
    </w:p>
    <w:p>
      <w:pPr>
        <w:spacing w:before="0" w:after="0" w:line="408" w:lineRule="exact"/>
        <w:ind w:left="0" w:right="0" w:firstLine="576"/>
        <w:jc w:val="left"/>
      </w:pPr>
      <w:r>
        <w:rPr>
          <w:u w:val="single"/>
        </w:rPr>
        <w:t xml:space="preserve">(v) Rape in the second degree (RCW 9A.44.050); or</w:t>
      </w:r>
    </w:p>
    <w:p>
      <w:pPr>
        <w:spacing w:before="0" w:after="0" w:line="408" w:lineRule="exact"/>
        <w:ind w:left="0" w:right="0" w:firstLine="576"/>
        <w:jc w:val="left"/>
      </w:pPr>
      <w:r>
        <w:rPr>
          <w:u w:val="single"/>
        </w:rPr>
        <w:t xml:space="preserve">(vi) Kidnapping in the first degree (RCW 9A.40.020)</w:t>
      </w:r>
      <w:r>
        <w:rPr/>
        <w:t xml:space="preserve">; or</w:t>
      </w:r>
    </w:p>
    <w:p>
      <w:pPr>
        <w:spacing w:before="0" w:after="0" w:line="408" w:lineRule="exact"/>
        <w:ind w:left="0" w:right="0" w:firstLine="576"/>
        <w:jc w:val="left"/>
      </w:pPr>
      <w:r>
        <w:rPr/>
        <w:t xml:space="preserve">(c) The respondent is any age and is charged with custodial assault, RCW 9A.36.100, and, at the time the respondent is charged, is already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
      <w:pPr>
        <w:jc w:val="center"/>
      </w:pPr>
      <w:r>
        <w:rPr>
          <w:b/>
        </w:rPr>
        <w:t>--- END ---</w:t>
      </w:r>
    </w:p>
    <w:sectPr>
      <w:pgNumType w:start="1"/>
      <w:footerReference xmlns:r="http://schemas.openxmlformats.org/officeDocument/2006/relationships" r:id="R58ad77bea17a40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738eafb704671" /><Relationship Type="http://schemas.openxmlformats.org/officeDocument/2006/relationships/footer" Target="/word/footer1.xml" Id="R58ad77bea17a404d" /></Relationships>
</file>