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fdaf7e17d4f35" /></Relationships>
</file>

<file path=word/document.xml><?xml version="1.0" encoding="utf-8"?>
<w:document xmlns:w="http://schemas.openxmlformats.org/wordprocessingml/2006/main">
  <w:body>
    <w:p>
      <w:r>
        <w:t>H-1508.1</w:t>
      </w:r>
    </w:p>
    <w:p>
      <w:pPr>
        <w:jc w:val="center"/>
      </w:pPr>
      <w:r>
        <w:t>_______________________________________________</w:t>
      </w:r>
    </w:p>
    <w:p/>
    <w:p>
      <w:pPr>
        <w:jc w:val="center"/>
      </w:pPr>
      <w:r>
        <w:rPr>
          <w:b/>
        </w:rPr>
        <w:t>SUBSTITUTE HOUSE BILL 1833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Paul, Hutchins, and Ramel)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ferry fuel surcharges; amending RCW 47.60.315;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u w:val="single"/>
        </w:rPr>
        <w:t xml:space="preserve">(11)(a) During the annual legislative appropriations deliberations, the legislature reviews and approves funding for the cost of ferry fuel, as estimated based on the most current forecasts of fuel prices and gallons of fuel that will be consumed to provide ferry service. The commission may impose a fuel surcharge only when directed by the legislature in the omnibus transportation appropriations act</w:t>
      </w:r>
      <w:r>
        <w:rPr>
          <w:u w:val="single"/>
        </w:rPr>
        <w:t xml:space="preserve">.</w:t>
      </w:r>
    </w:p>
    <w:p>
      <w:pPr>
        <w:spacing w:before="0" w:after="0" w:line="408" w:lineRule="exact"/>
        <w:ind w:left="0" w:right="0" w:firstLine="576"/>
        <w:jc w:val="left"/>
      </w:pPr>
      <w:r>
        <w:rPr>
          <w:u w:val="single"/>
        </w:rPr>
        <w:t xml:space="preserve">(b) If a fuel surcharge is imposed, as authorized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81fc645650347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b46daafbd47fb" /><Relationship Type="http://schemas.openxmlformats.org/officeDocument/2006/relationships/footer" Target="/word/footer1.xml" Id="R781fc64565034769" /></Relationships>
</file>