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9db5b297f41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Barkis, Lekanoff, Ramel, Hutchins, Tharinger, and Caldier</w:t>
      </w:r>
    </w:p>
    <w:p/>
    <w:p>
      <w:r>
        <w:rPr>
          <w:t xml:space="preserve">Read first time 03/17/23.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vessel procurement at the Washington state ferries; amending RCW 47.60.810, 47.60.835, 47.60.010, and 47.56.030; adding a new section to chapter 47.60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in order to conduct daily life and commerce activities. To maintain the integrity of this vital transportation link and to preserve the everyday conduct of individual and commercial activities, the state must act immediately to procure new hybrid-electric vessels in a timely and efficient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 </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best value objectives.</w:t>
      </w:r>
    </w:p>
    <w:p>
      <w:pPr>
        <w:spacing w:before="0" w:after="0" w:line="408" w:lineRule="exact"/>
        <w:ind w:left="0" w:right="0" w:firstLine="576"/>
        <w:jc w:val="left"/>
      </w:pPr>
      <w:r>
        <w:rPr/>
        <w:t xml:space="preserve">(d) The department must award a credit of 13 percent of the bid price for bid proposals for vessels constructed in the state of Washington, which must be adjusted to reflect the proportion of the construction of the vessels that occurs within the state. This credit represents the:</w:t>
      </w:r>
    </w:p>
    <w:p>
      <w:pPr>
        <w:spacing w:before="0" w:after="0" w:line="408" w:lineRule="exact"/>
        <w:ind w:left="0" w:right="0" w:firstLine="576"/>
        <w:jc w:val="left"/>
      </w:pPr>
      <w:r>
        <w:rPr/>
        <w:t xml:space="preserve">(i) Amount of economic and revenue loss to the state of Washington from constructing vessels outside the state of Washington, as indicated by the Washington institute for public policy study regarding Washington state ferry vessel procurement dated December 2016; and</w:t>
      </w:r>
    </w:p>
    <w:p>
      <w:pPr>
        <w:spacing w:before="0" w:after="0" w:line="408" w:lineRule="exact"/>
        <w:ind w:left="0" w:right="0" w:firstLine="576"/>
        <w:jc w:val="left"/>
      </w:pPr>
      <w:r>
        <w:rPr/>
        <w:t xml:space="preserve">(ii) Additional costs of transport, potential delay, and owner oversight incurred for construction at shipyards located outside the state of Washington.</w:t>
      </w:r>
    </w:p>
    <w:p>
      <w:pPr>
        <w:spacing w:before="0" w:after="0" w:line="408" w:lineRule="exact"/>
        <w:ind w:left="0" w:right="0" w:firstLine="576"/>
        <w:jc w:val="left"/>
      </w:pPr>
      <w:r>
        <w:rPr/>
        <w:t xml:space="preserve">(e) The department must require that contractors meet the requirements of RCW 39.04.320 regarding apprenticeships or other state law or federal law equivalents, where such equivalents exist.</w:t>
      </w:r>
    </w:p>
    <w:p>
      <w:pPr>
        <w:spacing w:before="0" w:after="0" w:line="408" w:lineRule="exact"/>
        <w:ind w:left="0" w:right="0" w:firstLine="576"/>
        <w:jc w:val="left"/>
      </w:pPr>
      <w:r>
        <w:rPr/>
        <w:t xml:space="preserve">(f) The department must require that contractors meet the requirements of chapter 90.48 RCW regarding water pollution control or other state law or federal law equivalents, where such equivalents exist.</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Contractors located in the state of Washington must meet the requirements of RCW 47.60.835, the small business enterprise enforceable goals program.</w:t>
      </w:r>
    </w:p>
    <w:p>
      <w:pPr>
        <w:spacing w:before="0" w:after="0" w:line="408" w:lineRule="exact"/>
        <w:ind w:left="0" w:right="0" w:firstLine="576"/>
        <w:jc w:val="left"/>
      </w:pPr>
      <w:r>
        <w:rPr/>
        <w:t xml:space="preserve">(5)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2019 c 431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section 2 of this act, the</w:t>
      </w:r>
      <w:r>
        <w:rPr/>
        <w:t xml:space="preserv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835</w:t>
      </w:r>
      <w:r>
        <w:rPr/>
        <w:t xml:space="preserve"> and 2019 c 431 s 2 are each amended to read as follows:</w:t>
      </w:r>
    </w:p>
    <w:p>
      <w:pPr>
        <w:spacing w:before="0" w:after="0" w:line="408" w:lineRule="exact"/>
        <w:ind w:left="0" w:right="0" w:firstLine="576"/>
        <w:jc w:val="left"/>
      </w:pPr>
      <w:r>
        <w:rPr/>
        <w:t xml:space="preserve">(1) </w:t>
      </w:r>
      <w:r>
        <w:t>((</w:t>
      </w:r>
      <w:r>
        <w:rPr>
          <w:strike/>
        </w:rPr>
        <w:t xml:space="preserve">To increase small business participation in ferry vessel procurement</w:t>
      </w:r>
      <w:r>
        <w:t>))</w:t>
      </w:r>
      <w:r>
        <w:rPr/>
        <w:t xml:space="preserve"> </w:t>
      </w:r>
      <w:r>
        <w:rPr>
          <w:u w:val="single"/>
        </w:rPr>
        <w:t xml:space="preserve">In the absence of federal funding and the applicability of the disadvantaged business enterprise program, to increase race and gender-neutral participation of small and diverse businesses in ferry procurement</w:t>
      </w:r>
      <w:r>
        <w:rPr/>
        <w:t xml:space="preserve">, the Washington state department of transportation's office of equal opportunity </w:t>
      </w:r>
      <w:r>
        <w:rPr>
          <w:u w:val="single"/>
        </w:rPr>
        <w:t xml:space="preserve">and civil rights</w:t>
      </w:r>
      <w:r>
        <w:rPr/>
        <w:t xml:space="preserve">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w:t>
      </w:r>
      <w:r>
        <w:t>((</w:t>
      </w:r>
      <w:r>
        <w:rPr>
          <w:strike/>
        </w:rPr>
        <w:t xml:space="preserve">goal</w:t>
      </w:r>
      <w:r>
        <w:t>))</w:t>
      </w:r>
      <w:r>
        <w:rPr/>
        <w:t xml:space="preserve"> </w:t>
      </w:r>
      <w:r>
        <w:rPr>
          <w:u w:val="single"/>
        </w:rPr>
        <w:t xml:space="preserve">goals</w:t>
      </w:r>
      <w:r>
        <w:rPr/>
        <w:t xml:space="preserve"> must submit evidence of good faith efforts to meet the contract </w:t>
      </w:r>
      <w:r>
        <w:t>((</w:t>
      </w:r>
      <w:r>
        <w:rPr>
          <w:strike/>
        </w:rPr>
        <w:t xml:space="preserve">goal</w:t>
      </w:r>
      <w:r>
        <w:t>))</w:t>
      </w:r>
      <w:r>
        <w:rPr/>
        <w:t xml:space="preserve"> </w:t>
      </w:r>
      <w:r>
        <w:rPr>
          <w:u w:val="single"/>
        </w:rPr>
        <w:t xml:space="preserve">goals</w:t>
      </w:r>
      <w:r>
        <w:rPr/>
        <w:t xml:space="preserve"> to the small business enterprise enforceable goals program. </w:t>
      </w:r>
      <w:r>
        <w:rPr>
          <w:u w:val="single"/>
        </w:rPr>
        <w:t xml:space="preserve">The department, in collaboration with the office of equal opportunities and civil rights will develop contractual remedies should the contractor not make good faith efforts.</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w:t>
      </w:r>
      <w:r>
        <w:rPr>
          <w:u w:val="single"/>
        </w:rPr>
        <w:t xml:space="preserve">and must be certified as a "small business enterprise" by the Washington state office of minority and women's business enterprises</w:t>
      </w:r>
      <w:r>
        <w:rPr/>
        <w:t xml:space="preserve">. Prime contractors will enter all subcontractor payments into the office's diversity management and compliance system. The office of equal opportunity </w:t>
      </w:r>
      <w:r>
        <w:rPr>
          <w:u w:val="single"/>
        </w:rPr>
        <w:t xml:space="preserve">and civil rights</w:t>
      </w:r>
      <w:r>
        <w:rPr/>
        <w:t xml:space="preserve">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2015 3rd sp.s. c 14 s 2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w:t>
      </w:r>
      <w:r>
        <w:rPr>
          <w:u w:val="single"/>
        </w:rPr>
        <w:t xml:space="preserve">, except as otherwise provided in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r>
        <w:rPr>
          <w:u w:val="single"/>
        </w:rPr>
        <w:t xml:space="preserve">, except as otherwise provided in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377d23199274b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67635247c4f44" /><Relationship Type="http://schemas.openxmlformats.org/officeDocument/2006/relationships/footer" Target="/word/footer1.xml" Id="R1377d23199274bec" /></Relationships>
</file>