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96fb49938462c" /></Relationships>
</file>

<file path=word/document.xml><?xml version="1.0" encoding="utf-8"?>
<w:document xmlns:w="http://schemas.openxmlformats.org/wordprocessingml/2006/main">
  <w:body>
    <w:p>
      <w:r>
        <w:t>H-1599.6</w:t>
      </w:r>
    </w:p>
    <w:p>
      <w:pPr>
        <w:jc w:val="center"/>
      </w:pPr>
      <w:r>
        <w:t>_______________________________________________</w:t>
      </w:r>
    </w:p>
    <w:p/>
    <w:p>
      <w:pPr>
        <w:jc w:val="center"/>
      </w:pPr>
      <w:r>
        <w:rPr>
          <w:b/>
        </w:rPr>
        <w:t>HOUSE BILL 1846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Barkis, Lekanoff, Ramel, Hutchins, Tharinger, and Caldier</w:t>
      </w:r>
    </w:p>
    <w:p/>
    <w:p>
      <w:r>
        <w:rPr>
          <w:t xml:space="preserve">Read first time 03/17/23.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vessel procurement at the Washington state ferries; amending RCW 47.60.810, 47.60.010, and 47.56.030; adding a new section to chapter 47.60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in order to conduct daily life and commerce activities. To maintain the integrity of this vital transportation link and to preserve the everyday conduct of individual and commercial activities, the state must act immediately to procure new hybrid-electric vessels in a timely and efficient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 </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other best value and highest scored proposal objectives, which may include, but are not limited to, the following:</w:t>
      </w:r>
    </w:p>
    <w:p>
      <w:pPr>
        <w:spacing w:before="0" w:after="0" w:line="408" w:lineRule="exact"/>
        <w:ind w:left="0" w:right="0" w:firstLine="576"/>
        <w:jc w:val="left"/>
      </w:pPr>
      <w:r>
        <w:rPr/>
        <w:t xml:space="preserve">(i) A credit of between five percent and 10 percent of the bid price for bid proposals for vessels constructed in the state of Washington, which credit must be reflective of an amount of loss to the state of Washington from awarding the contract to a ship yard outside the state;</w:t>
      </w:r>
    </w:p>
    <w:p>
      <w:pPr>
        <w:spacing w:before="0" w:after="0" w:line="408" w:lineRule="exact"/>
        <w:ind w:left="0" w:right="0" w:firstLine="576"/>
        <w:jc w:val="left"/>
      </w:pPr>
      <w:r>
        <w:rPr/>
        <w:t xml:space="preserve">(ii) Recognition of the additional costs of transport and owner oversight potentially incurred for construction at ship yards located at a greater distance from Seattle;</w:t>
      </w:r>
    </w:p>
    <w:p>
      <w:pPr>
        <w:spacing w:before="0" w:after="0" w:line="408" w:lineRule="exact"/>
        <w:ind w:left="0" w:right="0" w:firstLine="576"/>
        <w:jc w:val="left"/>
      </w:pPr>
      <w:r>
        <w:rPr/>
        <w:t xml:space="preserve">(iii) Meeting the requirements of RCW 39.04.320 regarding apprenticeships or other state or federal equivalents; and</w:t>
      </w:r>
    </w:p>
    <w:p>
      <w:pPr>
        <w:spacing w:before="0" w:after="0" w:line="408" w:lineRule="exact"/>
        <w:ind w:left="0" w:right="0" w:firstLine="576"/>
        <w:jc w:val="left"/>
      </w:pPr>
      <w:r>
        <w:rPr/>
        <w:t xml:space="preserve">(iv) Meeting the requirements of chapter 90.48 RCW regarding water pollution control or other state or federal equivalents.</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2019 c 431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section 2 of this act, the</w:t>
      </w:r>
      <w:r>
        <w:rPr/>
        <w:t xml:space="preserv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2015 3rd sp.s. c 14 s 2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w:t>
      </w:r>
      <w:r>
        <w:rPr>
          <w:u w:val="single"/>
        </w:rPr>
        <w:t xml:space="preserve">, except as otherwise provided in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r>
        <w:rPr>
          <w:u w:val="single"/>
        </w:rPr>
        <w:t xml:space="preserve">, except as otherwise provided in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13005f82234d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d707838b94a39" /><Relationship Type="http://schemas.openxmlformats.org/officeDocument/2006/relationships/footer" Target="/word/footer1.xml" Id="R6e13005f82234d9a" /></Relationships>
</file>