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f970bbe6384191" /></Relationships>
</file>

<file path=word/document.xml><?xml version="1.0" encoding="utf-8"?>
<w:document xmlns:w="http://schemas.openxmlformats.org/wordprocessingml/2006/main">
  <w:body>
    <w:p>
      <w:r>
        <w:t>H-1879.1</w:t>
      </w:r>
    </w:p>
    <w:p>
      <w:pPr>
        <w:jc w:val="center"/>
      </w:pPr>
      <w:r>
        <w:t>_______________________________________________</w:t>
      </w:r>
    </w:p>
    <w:p/>
    <w:p>
      <w:pPr>
        <w:jc w:val="center"/>
      </w:pPr>
      <w:r>
        <w:rPr>
          <w:b/>
        </w:rPr>
        <w:t>SUBSTITUTE HOUSE BILL 1853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 Fey)</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corrective changes resulting from the enactment of chapter 182, Laws of 2022 (transportation resources); amending RCW 46.17.015, 46.17.025, 81.104.170, 81.104.175, 47.04.380, 47.04.390, 46.68.480, 43.84.092, 43.84.092, 47.66.140, and 43.392.040; reenacting and amending RCW 47.04.010; adding a new section to chapter 47.04 RCW; creating new sections; recodifying RCW 47.24.060;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registered under RCW </w:t>
      </w:r>
      <w:r>
        <w:t>((</w:t>
      </w:r>
      <w:r>
        <w:rPr>
          <w:strike/>
        </w:rPr>
        <w:t xml:space="preserve">46.16A.455(3)</w:t>
      </w:r>
      <w:r>
        <w:t>))</w:t>
      </w:r>
      <w:r>
        <w:rPr/>
        <w:t xml:space="preserve"> </w:t>
      </w:r>
      <w:r>
        <w:rPr>
          <w:u w:val="single"/>
        </w:rPr>
        <w:t xml:space="preserve">46.17.355, unless specifically exempt</w:t>
      </w:r>
      <w:r>
        <w:rPr/>
        <w:t xml:space="preserve">.</w:t>
      </w:r>
    </w:p>
    <w:p>
      <w:pPr>
        <w:spacing w:before="0" w:after="0" w:line="408" w:lineRule="exact"/>
        <w:ind w:left="0" w:right="0" w:firstLine="576"/>
        <w:jc w:val="left"/>
      </w:pPr>
      <w:r>
        <w:rPr/>
        <w:t xml:space="preserve">(3) The revenue from the license plate technology fee imposed on vehicles registered under RCW </w:t>
      </w:r>
      <w:r>
        <w:t>((</w:t>
      </w:r>
      <w:r>
        <w:rPr>
          <w:strike/>
        </w:rPr>
        <w:t xml:space="preserve">46.16A.455(3)</w:t>
      </w:r>
      <w:r>
        <w:t>))</w:t>
      </w:r>
      <w:r>
        <w:rPr/>
        <w:t xml:space="preserve"> </w:t>
      </w:r>
      <w:r>
        <w:rPr>
          <w:u w:val="single"/>
        </w:rPr>
        <w:t xml:space="preserve">46.17.355</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registered under RCW </w:t>
      </w:r>
      <w:r>
        <w:t>((</w:t>
      </w:r>
      <w:r>
        <w:rPr>
          <w:strike/>
        </w:rPr>
        <w:t xml:space="preserve">46.16A.455(3)</w:t>
      </w:r>
      <w:r>
        <w:t>))</w:t>
      </w:r>
      <w:r>
        <w:rPr/>
        <w:t xml:space="preserve"> </w:t>
      </w:r>
      <w:r>
        <w:rPr>
          <w:u w:val="single"/>
        </w:rPr>
        <w:t xml:space="preserve">46.17.355, unless specifically exempt</w:t>
      </w:r>
      <w:r>
        <w:rPr/>
        <w:t xml:space="preserve">.</w:t>
      </w:r>
    </w:p>
    <w:p>
      <w:pPr>
        <w:spacing w:before="0" w:after="0" w:line="408" w:lineRule="exact"/>
        <w:ind w:left="0" w:right="0" w:firstLine="576"/>
        <w:jc w:val="left"/>
      </w:pPr>
      <w:r>
        <w:rPr/>
        <w:t xml:space="preserve">(3) The revenue from the license service fee imposed on vehicles registered under RCW </w:t>
      </w:r>
      <w:r>
        <w:t>((</w:t>
      </w:r>
      <w:r>
        <w:rPr>
          <w:strike/>
        </w:rPr>
        <w:t xml:space="preserve">46.16A.455(3)</w:t>
      </w:r>
      <w:r>
        <w:t>))</w:t>
      </w:r>
      <w:r>
        <w:rPr/>
        <w:t xml:space="preserve"> </w:t>
      </w:r>
      <w:r>
        <w:rPr>
          <w:u w:val="single"/>
        </w:rPr>
        <w:t xml:space="preserve">46.17.355</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
      <w:pPr>
        <w:jc w:val="center"/>
      </w:pPr>
      <w:r>
        <w:rPr>
          <w:b/>
        </w:rPr>
        <w:t>--- END ---</w:t>
      </w:r>
    </w:p>
    <w:sectPr>
      <w:pgNumType w:start="1"/>
      <w:footerReference xmlns:r="http://schemas.openxmlformats.org/officeDocument/2006/relationships" r:id="Reb4978f3d5ef4e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94cb3bfbc4167" /><Relationship Type="http://schemas.openxmlformats.org/officeDocument/2006/relationships/footer" Target="/word/footer1.xml" Id="Reb4978f3d5ef4eae" /></Relationships>
</file>