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76261235743c3" /></Relationships>
</file>

<file path=word/document.xml><?xml version="1.0" encoding="utf-8"?>
<w:document xmlns:w="http://schemas.openxmlformats.org/wordprocessingml/2006/main">
  <w:body>
    <w:p>
      <w:r>
        <w:t>H-2061.3</w:t>
      </w:r>
    </w:p>
    <w:p>
      <w:pPr>
        <w:jc w:val="center"/>
      </w:pPr>
      <w:r>
        <w:t>_______________________________________________</w:t>
      </w:r>
    </w:p>
    <w:p/>
    <w:p>
      <w:pPr>
        <w:jc w:val="center"/>
      </w:pPr>
      <w:r>
        <w:rPr>
          <w:b/>
        </w:rPr>
        <w:t>HOUSE BILL 1892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Alvarado, Bateman, Peterson, Shavers, Reed, Fosse, Hackney, Barkis, Low, Eslick, Callan, Abbarno, Taylor, Klicker, Connors, Walen, Reeves, Ryu, Berry, Cortes, Stearns, Slatter, Duerr, Bronoske, Ramos, Ormsby, Barnard, Fey, Timmons, Kloba, Macri, Street, Chopp, Paul, Gregerson, Sandlin, Orwall, Bergquist, Goodman, Ortiz-Self, Nance, Santos, and Pollet</w:t>
      </w:r>
    </w:p>
    <w:p/>
    <w:p>
      <w:r>
        <w:rPr>
          <w:t xml:space="preserve">Prefiled 12/06/23.</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workforce housing accelerator program;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is created in the department to provide loans to eligible organizations to finance affordable housing for low-income households. The department shall contract with the commission to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 the program, the commission may administer loans to eligible organizations to assist with the development of housing for low-income households subject to the following requirements:</w:t>
      </w:r>
    </w:p>
    <w:p>
      <w:pPr>
        <w:spacing w:before="0" w:after="0" w:line="408" w:lineRule="exact"/>
        <w:ind w:left="0" w:right="0" w:firstLine="576"/>
        <w:jc w:val="left"/>
      </w:pPr>
      <w:r>
        <w:rPr/>
        <w:t xml:space="preserve">(1) Loans must be prioritized and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Commitment of private capital, with highest priority to applicants demonstrating the largest percentage of private capital committed to the project;</w:t>
      </w:r>
    </w:p>
    <w:p>
      <w:pPr>
        <w:spacing w:before="0" w:after="0" w:line="408" w:lineRule="exact"/>
        <w:ind w:left="0" w:right="0" w:firstLine="576"/>
        <w:jc w:val="left"/>
      </w:pPr>
      <w:r>
        <w:rPr/>
        <w:t xml:space="preserve">(c) Proposed cost efficiency, including development of a variety of unit types at the lowest cost;</w:t>
      </w:r>
    </w:p>
    <w:p>
      <w:pPr>
        <w:spacing w:before="0" w:after="0" w:line="408" w:lineRule="exact"/>
        <w:ind w:left="0" w:right="0" w:firstLine="576"/>
        <w:jc w:val="left"/>
      </w:pPr>
      <w:r>
        <w:rPr/>
        <w:t xml:space="preserve">(d) Development location, with the goal of awarding funding to projects equitably across the state;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 provided that such criteria shall not exceed the priority of any other criterion listed in this subsection (1).</w:t>
      </w:r>
    </w:p>
    <w:p>
      <w:pPr>
        <w:spacing w:before="0" w:after="0" w:line="408" w:lineRule="exact"/>
        <w:ind w:left="0" w:right="0" w:firstLine="576"/>
        <w:jc w:val="left"/>
      </w:pPr>
      <w:r>
        <w:rPr/>
        <w:t xml:space="preserve">(2) Any housing financed under the program must serve low-income households for at least 99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must structure loans issued pursuant to this section with an interest rate above one percent, but not exceeding 2.5 percent, for the first 20 years. The commission may not require annual loan repayments in excess of 15 percent of annual cash flow on the project for the 12-month period preceding a repayment.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financing package at the time of award.</w:t>
      </w:r>
    </w:p>
    <w:p>
      <w:pPr>
        <w:spacing w:before="0" w:after="0" w:line="408" w:lineRule="exact"/>
        <w:ind w:left="0" w:right="0" w:firstLine="576"/>
        <w:jc w:val="left"/>
      </w:pPr>
      <w:r>
        <w:rPr/>
        <w:t xml:space="preserve">(7) Upon receipt and repayment, any interest earnings and repaid loan funds must be tracked separately from other revenue and must be reloaned to qualifying applicants to finance additional housing serving low-income populations under the program.</w:t>
      </w:r>
    </w:p>
    <w:p>
      <w:pPr>
        <w:spacing w:before="0" w:after="0" w:line="408" w:lineRule="exact"/>
        <w:ind w:left="0" w:right="0" w:firstLine="576"/>
        <w:jc w:val="left"/>
      </w:pPr>
      <w:r>
        <w:rPr/>
        <w:t xml:space="preserve">(8) All loans issued pursuant to this section must be assumable by a qualifying applicant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Ensure equitable geographic distribution of loan funding awarded. The commission may not allocate more than $20,000,000 per round of funding to projects in each individual county. However,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rules necessary to administer the program established in this section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4e7dd00f5b342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e925847274d4c" /><Relationship Type="http://schemas.openxmlformats.org/officeDocument/2006/relationships/footer" Target="/word/footer1.xml" Id="Re4e7dd00f5b3429d" /></Relationships>
</file>