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9c65b2213444cb" /></Relationships>
</file>

<file path=word/document.xml><?xml version="1.0" encoding="utf-8"?>
<w:document xmlns:w="http://schemas.openxmlformats.org/wordprocessingml/2006/main">
  <w:body>
    <w:p>
      <w:r>
        <w:t>Z-0407.2</w:t>
      </w:r>
    </w:p>
    <w:p>
      <w:pPr>
        <w:jc w:val="center"/>
      </w:pPr>
      <w:r>
        <w:t>_______________________________________________</w:t>
      </w:r>
    </w:p>
    <w:p/>
    <w:p>
      <w:pPr>
        <w:jc w:val="center"/>
      </w:pPr>
      <w:r>
        <w:rPr>
          <w:b/>
        </w:rPr>
        <w:t>HOUSE BILL 1898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Schmidt, Fosse, Connors, Berry, Bronoske, Abbarno, Ormsby, Volz, Leavitt, Low, Reed, Graham, Kloba, and Reeves; by request of Employment Security Department</w:t>
      </w:r>
    </w:p>
    <w:p/>
    <w:p>
      <w:r>
        <w:rPr>
          <w:t xml:space="preserve">Prefiled 12/06/23.</w:t>
        </w:rPr>
      </w:r>
      <w:r>
        <w:rPr>
          <w:t xml:space="preserve">Read first time 01/08/24.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unemployment insurance benefit charging; amending RCW 50.12.200; and reenacting and amending RCW 50.29.021.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2023 c 451 s 2 and 2023 c 240 s 3 are each reenacted and amended to read as follows:</w:t>
      </w:r>
    </w:p>
    <w:p>
      <w:pPr>
        <w:spacing w:before="0" w:after="0" w:line="408" w:lineRule="exact"/>
        <w:ind w:left="0" w:right="0" w:firstLine="576"/>
        <w:jc w:val="left"/>
      </w:pPr>
      <w:r>
        <w:rPr/>
        <w:t xml:space="preserve">(1)(a)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individual shall be charged to the experience rating accounts of each of such individual's employers during the individual's base year in the same ratio that the wages paid by each employer to the individual during the base year bear to the wages paid by all employers to that individual during that base year, except as otherwise provided in this section.</w:t>
      </w:r>
    </w:p>
    <w:p>
      <w:pPr>
        <w:spacing w:before="0" w:after="0" w:line="408" w:lineRule="exact"/>
        <w:ind w:left="0" w:right="0" w:firstLine="576"/>
        <w:jc w:val="left"/>
      </w:pPr>
      <w:r>
        <w:rPr/>
        <w:t xml:space="preserve">(c) When the eligible individual's separating employer is a covered contribution paying base year employer, benefits paid to the eligible individual shall be charged to the experience rating account of only the individual's separating employer if:</w:t>
      </w:r>
    </w:p>
    <w:p>
      <w:pPr>
        <w:spacing w:before="0" w:after="0" w:line="408" w:lineRule="exact"/>
        <w:ind w:left="0" w:right="0" w:firstLine="576"/>
        <w:jc w:val="left"/>
      </w:pPr>
      <w:r>
        <w:rPr/>
        <w:t xml:space="preserve">(i) The individual qualifies for benefits under RCW 50.20.050 (1)(b)(i) or (2)(b)(i), as applicable, and became unemployed after having worked and earned wages in the bona fide work;</w:t>
      </w:r>
    </w:p>
    <w:p>
      <w:pPr>
        <w:spacing w:before="0" w:after="0" w:line="408" w:lineRule="exact"/>
        <w:ind w:left="0" w:right="0" w:firstLine="576"/>
        <w:jc w:val="left"/>
      </w:pPr>
      <w:r>
        <w:rPr/>
        <w:t xml:space="preserve">(ii) The individual qualifies for benefits under RCW 50.20.050 (1)(b) (v) through (x) or (2)(b) (v) through (x); or</w:t>
      </w:r>
    </w:p>
    <w:p>
      <w:pPr>
        <w:spacing w:before="0" w:after="0" w:line="408" w:lineRule="exact"/>
        <w:ind w:left="0" w:right="0" w:firstLine="576"/>
        <w:jc w:val="left"/>
      </w:pPr>
      <w:r>
        <w:rPr/>
        <w:t xml:space="preserve">(iii) During a public health emergency, the claimant worked at a health care facility as defined in RCW 9A.50.010, was directly involved in the delivery of health services, and was terminated from work due to entering quarantine because of exposure to or contracting the disease that is the subject of the declaration of the public health emergency.</w:t>
      </w:r>
    </w:p>
    <w:p>
      <w:pPr>
        <w:spacing w:before="0" w:after="0" w:line="408" w:lineRule="exact"/>
        <w:ind w:left="0" w:right="0" w:firstLine="576"/>
        <w:jc w:val="left"/>
      </w:pPr>
      <w:r>
        <w:rPr/>
        <w:t xml:space="preserve">(2)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r>
        <w:t>((</w:t>
      </w:r>
      <w:r>
        <w:rPr>
          <w:strike/>
        </w:rPr>
        <w:t xml:space="preserve">:</w:t>
      </w:r>
      <w:r>
        <w:t>))</w:t>
      </w:r>
      <w:r>
        <w:rPr/>
        <w:t xml:space="preserve"> </w:t>
      </w:r>
      <w:r>
        <w:rPr>
          <w:u w:val="single"/>
        </w:rPr>
        <w:t xml:space="preserve">in (a) through (i) of this subsection. The department may not require an employer to submit a request in order for these benefits to not be charged.</w:t>
      </w:r>
    </w:p>
    <w:p>
      <w:pPr>
        <w:spacing w:before="0" w:after="0" w:line="408" w:lineRule="exact"/>
        <w:ind w:left="0" w:right="0" w:firstLine="576"/>
        <w:jc w:val="left"/>
      </w:pPr>
      <w:r>
        <w:rPr/>
        <w:t xml:space="preserve">(a) Benefits paid to any individual later determined to be ineligible </w:t>
      </w:r>
      <w:r>
        <w:rPr>
          <w:u w:val="single"/>
        </w:rPr>
        <w:t xml:space="preserve">for those benefits or disqualified to receive those benefits</w:t>
      </w:r>
      <w:r>
        <w:rPr/>
        <w:t xml:space="preserve"> shall not be charged to the experience rating account of any contribution paying employer, except </w:t>
      </w:r>
      <w:r>
        <w:t>((</w:t>
      </w:r>
      <w:r>
        <w:rPr>
          <w:strike/>
        </w:rPr>
        <w:t xml:space="preserve">as</w:t>
      </w:r>
      <w:r>
        <w:t>))</w:t>
      </w:r>
      <w:r>
        <w:rPr>
          <w:u w:val="single"/>
        </w:rPr>
        <w:t xml:space="preserve">:</w:t>
      </w:r>
    </w:p>
    <w:p>
      <w:pPr>
        <w:spacing w:before="0" w:after="0" w:line="408" w:lineRule="exact"/>
        <w:ind w:left="0" w:right="0" w:firstLine="576"/>
        <w:jc w:val="left"/>
      </w:pPr>
      <w:r>
        <w:rPr>
          <w:u w:val="single"/>
        </w:rPr>
        <w:t xml:space="preserve">(i) As</w:t>
      </w:r>
      <w:r>
        <w:rPr/>
        <w:t xml:space="preserve"> provided in subsection (4) of this section</w:t>
      </w:r>
      <w:r>
        <w:rPr>
          <w:u w:val="single"/>
        </w:rPr>
        <w:t xml:space="preserve">; or</w:t>
      </w:r>
    </w:p>
    <w:p>
      <w:pPr>
        <w:spacing w:before="0" w:after="0" w:line="408" w:lineRule="exact"/>
        <w:ind w:left="0" w:right="0" w:firstLine="576"/>
        <w:jc w:val="left"/>
      </w:pPr>
      <w:r>
        <w:rPr>
          <w:u w:val="single"/>
        </w:rPr>
        <w:t xml:space="preserve">(ii) As provided in subsection (5) of this section</w:t>
      </w:r>
      <w:r>
        <w:rPr/>
        <w:t xml:space="preserve">.</w:t>
      </w:r>
    </w:p>
    <w:p>
      <w:pPr>
        <w:spacing w:before="0" w:after="0" w:line="408" w:lineRule="exact"/>
        <w:ind w:left="0" w:right="0" w:firstLine="576"/>
        <w:jc w:val="left"/>
      </w:pPr>
      <w:r>
        <w:rPr/>
        <w:t xml:space="preserve">(b) Benefits paid to an individual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individual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individual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individuals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w:t>
      </w:r>
      <w:r>
        <w:t>((</w:t>
      </w:r>
      <w:r>
        <w:rPr>
          <w:strike/>
        </w:rPr>
        <w:t xml:space="preserve">Benefits paid to an individual who qualifies for benefits under</w:t>
      </w:r>
      <w:r>
        <w:t>))</w:t>
      </w:r>
      <w:r>
        <w:rPr/>
        <w:t xml:space="preserve"> </w:t>
      </w:r>
      <w:r>
        <w:rPr>
          <w:u w:val="single"/>
        </w:rPr>
        <w:t xml:space="preserve">If the department determines an individual left the employ of the separating employer under the circumstances described in</w:t>
      </w:r>
      <w:r>
        <w:rPr/>
        <w:t xml:space="preserve"> RCW 50.20.050(1)(b) (iv) or (xi), (2)(b)(ii), only for separation that was necessary because the care for a child or a vulnerable adult in the claimant's care is inaccessible, (iv), (xi), (xii), or (xiii), or (3), as applicable, </w:t>
      </w:r>
      <w:r>
        <w:rPr>
          <w:u w:val="single"/>
        </w:rPr>
        <w:t xml:space="preserve">benefits paid to that individual</w:t>
      </w:r>
      <w:r>
        <w:rPr/>
        <w:t xml:space="preserve"> shall not be charged to the experience rating account of any </w:t>
      </w:r>
      <w:r>
        <w:rPr>
          <w:u w:val="single"/>
        </w:rPr>
        <w:t xml:space="preserve">base year</w:t>
      </w:r>
      <w:r>
        <w:rPr/>
        <w:t xml:space="preserve"> contribution paying employer.</w:t>
      </w:r>
    </w:p>
    <w:p>
      <w:pPr>
        <w:spacing w:before="0" w:after="0" w:line="408" w:lineRule="exact"/>
        <w:ind w:left="0" w:right="0" w:firstLine="576"/>
        <w:jc w:val="left"/>
      </w:pPr>
      <w:r>
        <w:rPr/>
        <w:t xml:space="preserve">(f) </w:t>
      </w:r>
      <w:r>
        <w:t>((</w:t>
      </w:r>
      <w:r>
        <w:rPr>
          <w:strike/>
        </w:rPr>
        <w:t xml:space="preserve">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(2)(f) does not apply to the calculation of contribution rates under RCW 50.29.025 for rate year 2010 and thereafter.</w:t>
      </w:r>
    </w:p>
    <w:p>
      <w:pPr>
        <w:spacing w:before="0" w:after="0" w:line="408" w:lineRule="exact"/>
        <w:ind w:left="0" w:right="0" w:firstLine="576"/>
        <w:jc w:val="left"/>
      </w:pPr>
      <w:r>
        <w:rPr>
          <w:strike/>
        </w:rPr>
        <w:t xml:space="preserve">(g)</w:t>
      </w:r>
      <w:r>
        <w:t>))</w:t>
      </w:r>
      <w:r>
        <w:rPr/>
        <w:t xml:space="preserve"> Upon approval of an individual's training benefits plan submitted in accordance with RCW 50.22.155(2), an individual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Training benefits paid to an individual under RCW 50.22.155 shall not be charged to the experience rating account of any contribution paying employer.</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(i) Benefits paid during the one week waiting period when the one week waiting period is fully paid or fully reimbursed by the federal government shall not be charged to the experience rating account of any contribution paying employer.</w:t>
      </w:r>
    </w:p>
    <w:p>
      <w:pPr>
        <w:spacing w:before="0" w:after="0" w:line="408" w:lineRule="exact"/>
        <w:ind w:left="0" w:right="0" w:firstLine="576"/>
        <w:jc w:val="left"/>
      </w:pPr>
      <w:r>
        <w:rPr/>
        <w:t xml:space="preserve">(ii) In the event the one week waiting period is partially paid or partially reimbursed by the federal government, the department may, by rule, elect to not charge, in full or in part, benefits paid during the one week waiting period to the experience rating account of any contribution paying employer.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Benefits paid for all weeks starting with the week ending March 28, 2020, and ending with the week ending May 30, 2020, shall not be charged to the experience rating account of any contribution paying employer.</w:t>
      </w:r>
    </w:p>
    <w:p>
      <w:pPr>
        <w:spacing w:before="0" w:after="0" w:line="408" w:lineRule="exact"/>
        <w:ind w:left="0" w:right="0" w:firstLine="576"/>
        <w:jc w:val="left"/>
      </w:pPr>
      <w:r>
        <w:rPr/>
        <w:t xml:space="preserve">(3)(a) A contribution paying base year employer, except employers as provided in subsection (5) of this section, not otherwise eligible for relief of charges for benefits under this section, may receive such relief if the benefit charges result from payment to an individual who:</w:t>
      </w:r>
    </w:p>
    <w:p>
      <w:pPr>
        <w:spacing w:before="0" w:after="0" w:line="408" w:lineRule="exact"/>
        <w:ind w:left="0" w:right="0" w:firstLine="576"/>
        <w:jc w:val="left"/>
      </w:pPr>
      <w:r>
        <w:rPr/>
        <w:t xml:space="preserve">(i) Last left the employ of such employer voluntarily for reasons not attributable to the employer</w:t>
      </w:r>
      <w:r>
        <w:rPr>
          <w:u w:val="single"/>
        </w:rPr>
        <w:t xml:space="preserve">. In addition to other circumstances identified by the department by rule, an individual who leaves the employ of such employer under the circumstances described in RCW 50.20.050(1)(b) (iv) or (xi), (2)(b) (iv), (xi), or (xii), or (3) must be deemed to have left their employ for reasons not attributable to the employer</w:t>
      </w:r>
      <w:r>
        <w:rPr/>
        <w:t xml:space="preserve">;</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 or to the presence of any dangerous, contagious, or infectious disease that is the subject of a public health emergency at the employer's plant, building, worksite, or other facility;</w:t>
      </w:r>
    </w:p>
    <w:p>
      <w:pPr>
        <w:spacing w:before="0" w:after="0" w:line="408" w:lineRule="exact"/>
        <w:ind w:left="0" w:right="0" w:firstLine="576"/>
        <w:jc w:val="left"/>
      </w:pPr>
      <w:r>
        <w:rPr/>
        <w:t xml:space="preserve">(iv) Continues to be employed by the employer seeking relief and: (A) The employer furnished part-time work to the individual during the base year; (B) the individual has become eligible for benefits because of loss of employment with one or more other employers; and (C) the employer has continued to furnish or make available part-time work to the individual in substantially the same amount as during the individual's base year. This subsection does not apply to shared work employers under chapter 50.60 RCW;</w:t>
      </w:r>
    </w:p>
    <w:p>
      <w:pPr>
        <w:spacing w:before="0" w:after="0" w:line="408" w:lineRule="exact"/>
        <w:ind w:left="0" w:right="0" w:firstLine="576"/>
        <w:jc w:val="left"/>
      </w:pPr>
      <w:r>
        <w:rPr/>
        <w:t xml:space="preserve">(v)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w:t>
      </w:r>
    </w:p>
    <w:p>
      <w:pPr>
        <w:spacing w:before="0" w:after="0" w:line="408" w:lineRule="exact"/>
        <w:ind w:left="0" w:right="0" w:firstLine="576"/>
        <w:jc w:val="left"/>
      </w:pPr>
      <w:r>
        <w:rPr/>
        <w:t xml:space="preserve">(vi) Worked for an employer for 20 weeks or less, and was laid off at the end of temporary employment when that employee temporarily replaced a permanent employee receiving family or medical leave benefits under Title 50A RCW, and the layoff is due to the return of that permanent employee. This subsection (3)(a)(vi) applies to claims with an effective date on or after January 1, 2020; or</w:t>
      </w:r>
    </w:p>
    <w:p>
      <w:pPr>
        <w:spacing w:before="0" w:after="0" w:line="408" w:lineRule="exact"/>
        <w:ind w:left="0" w:right="0" w:firstLine="576"/>
        <w:jc w:val="left"/>
      </w:pPr>
      <w:r>
        <w:rPr/>
        <w:t xml:space="preserve">(vii) Was discharged because the individual was unable to satisfy a job prerequisite required by law or administrative rule.</w:t>
      </w:r>
    </w:p>
    <w:p>
      <w:pPr>
        <w:spacing w:before="0" w:after="0" w:line="408" w:lineRule="exact"/>
        <w:ind w:left="0" w:right="0" w:firstLine="576"/>
        <w:jc w:val="left"/>
      </w:pPr>
      <w:r>
        <w:rPr/>
        <w:t xml:space="preserve">(b) The employer requesting relief of charges under this subsection must request relief in writing within 30 days following mailing to the last known address of the notification of the valid initial determination of such claim, stating the date and reason for the separation or the circumstances of continued employment. </w:t>
      </w:r>
      <w:r>
        <w:rPr>
          <w:u w:val="single"/>
        </w:rPr>
        <w:t xml:space="preserve">The department may waive this time limitation for good cause.</w:t>
      </w:r>
      <w:r>
        <w:rPr/>
        <w:t xml:space="preserve"> The commissioner, upon investigation of the request, shall determine whether relief should be granted.</w:t>
      </w:r>
    </w:p>
    <w:p>
      <w:pPr>
        <w:spacing w:before="0" w:after="0" w:line="408" w:lineRule="exact"/>
        <w:ind w:left="0" w:right="0" w:firstLine="576"/>
        <w:jc w:val="left"/>
      </w:pPr>
      <w:r>
        <w:rPr/>
        <w:t xml:space="preserve">(4)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rPr/>
        <w:t xml:space="preserve">(5)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w:t>
      </w:r>
      <w:r>
        <w:t>((</w:t>
      </w:r>
      <w:r>
        <w:rPr>
          <w:strike/>
        </w:rPr>
        <w:t xml:space="preserve">eligibility for</w:t>
      </w:r>
      <w:r>
        <w:t>))</w:t>
      </w:r>
      <w:r>
        <w:rPr/>
        <w:t xml:space="preserve"> </w:t>
      </w:r>
      <w:r>
        <w:rPr>
          <w:u w:val="single"/>
        </w:rPr>
        <w:t xml:space="preserve">whether an individual is eligible for or qualified to receive</w:t>
      </w:r>
      <w:r>
        <w:rPr/>
        <w:t xml:space="preserve">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12</w:t>
      </w:r>
      <w:r>
        <w:rPr/>
        <w:t xml:space="preserve">.</w:t>
      </w:r>
      <w:r>
        <w:t xml:space="preserve">200</w:t>
      </w:r>
      <w:r>
        <w:rPr/>
        <w:t xml:space="preserve"> and 2020 c 86 s 1 are each amended to read as follows:</w:t>
      </w:r>
    </w:p>
    <w:p>
      <w:pPr>
        <w:spacing w:before="0" w:after="0" w:line="408" w:lineRule="exact"/>
        <w:ind w:left="0" w:right="0" w:firstLine="576"/>
        <w:jc w:val="left"/>
      </w:pPr>
      <w:r>
        <w:rPr/>
        <w:t xml:space="preserve">(1) The commissioner shall appoint a state advisory council composed of not more than nine </w:t>
      </w:r>
      <w:r>
        <w:t>((</w:t>
      </w:r>
      <w:r>
        <w:rPr>
          <w:strike/>
        </w:rPr>
        <w:t xml:space="preserve">men and women</w:t>
      </w:r>
      <w:r>
        <w:t>))</w:t>
      </w:r>
      <w:r>
        <w:rPr/>
        <w:t xml:space="preserve"> </w:t>
      </w:r>
      <w:r>
        <w:rPr>
          <w:u w:val="single"/>
        </w:rPr>
        <w:t xml:space="preserve">persons</w:t>
      </w:r>
      <w:r>
        <w:rPr/>
        <w:t xml:space="preserve">, of which three shall be representatives of employers, three shall be representatives of employees, and three shall be representatives of the general public. Such council shall aid the commissioner in formulating policies and discussing problems related to the administration of this title and of assuring impartiality and freedom from political influence in the solution of such problems. The council shall serve without compensation. The commissioner may also appoint committees, and industrial or other special councils, to perform appropriate services. Advisory councilmembers shall be reimbursed for travel expenses incurred in accordance with RCW 43.03.050 and 43.03.060 as now existing or hereafter amended.</w:t>
      </w:r>
    </w:p>
    <w:p>
      <w:pPr>
        <w:spacing w:before="0" w:after="0" w:line="408" w:lineRule="exact"/>
        <w:ind w:left="0" w:right="0" w:firstLine="576"/>
        <w:jc w:val="left"/>
      </w:pPr>
      <w:r>
        <w:rPr/>
        <w:t xml:space="preserve">(2) Beginning in 2021 and ending in 2030, the commissioner shall annually report to the state advisory council the amount of benefits that were not charged to employers as a direct consequence of RCW 50.29.021(3)(a)</w:t>
      </w:r>
      <w:r>
        <w:t>((</w:t>
      </w:r>
      <w:r>
        <w:rPr>
          <w:strike/>
        </w:rPr>
        <w:t xml:space="preserve">(viii)</w:t>
      </w:r>
      <w:r>
        <w:t>))</w:t>
      </w:r>
      <w:r>
        <w:rPr/>
        <w:t xml:space="preserve"> </w:t>
      </w:r>
      <w:r>
        <w:rPr>
          <w:u w:val="single"/>
        </w:rPr>
        <w:t xml:space="preserve">(vii)</w:t>
      </w:r>
      <w:r>
        <w:rPr/>
        <w:t xml:space="preserve">.</w:t>
      </w:r>
    </w:p>
    <w:p/>
    <w:p>
      <w:pPr>
        <w:jc w:val="center"/>
      </w:pPr>
      <w:r>
        <w:rPr>
          <w:b/>
        </w:rPr>
        <w:t>--- END ---</w:t>
      </w:r>
    </w:p>
    <w:sectPr>
      <w:pgNumType w:start="1"/>
      <w:footerReference xmlns:r="http://schemas.openxmlformats.org/officeDocument/2006/relationships" r:id="R0f26b2f668074e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db49cb21ba4a68" /><Relationship Type="http://schemas.openxmlformats.org/officeDocument/2006/relationships/footer" Target="/word/footer1.xml" Id="R0f26b2f668074e47" /></Relationships>
</file>