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ae2982aab4b6e" /></Relationships>
</file>

<file path=word/document.xml><?xml version="1.0" encoding="utf-8"?>
<w:document xmlns:w="http://schemas.openxmlformats.org/wordprocessingml/2006/main">
  <w:body>
    <w:p>
      <w:r>
        <w:t>H-2227.1</w:t>
      </w:r>
    </w:p>
    <w:p>
      <w:pPr>
        <w:jc w:val="center"/>
      </w:pPr>
      <w:r>
        <w:t>_______________________________________________</w:t>
      </w:r>
    </w:p>
    <w:p/>
    <w:p>
      <w:pPr>
        <w:jc w:val="center"/>
      </w:pPr>
      <w:r>
        <w:rPr>
          <w:b/>
        </w:rPr>
        <w:t>HOUSE BILL 1931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Waters, Slatter, Ramel, Reed, Simmons, Ormsby, Doglio, Paul, Goodman, Lekanoff, Reeves, Hackney, and Davis</w:t>
      </w:r>
    </w:p>
    <w:p/>
    <w:p>
      <w:r>
        <w:rPr>
          <w:t xml:space="preserve">Prefiled 12/12/23.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aid grants for incarcerated students; and amending RCW 72.09.460.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w:t>
      </w:r>
      <w:r>
        <w:rPr>
          <w:u w:val="single"/>
        </w:rPr>
        <w:t xml:space="preserve">that is eligible for financial aid, the department may not require an incarcerated individual to apply for or utilize financial aid grants available to the incarcerated individual as a condition to participation in such programming. At the incarcerated individual's option, the incarcerated individual may apply for and utilize federal and state financial aid grants for use towards postsecondary education. If the cost of attendance exceeds the grant award, or the incarcerated individual is not eligible for financial aid or chooses not to apply for or utilize financial aid, or if financial aid is not available</w:t>
      </w:r>
      <w:r>
        <w:rPr/>
        <w:t xml:space="preserve">, the department shall pay the cost of such programming </w:t>
      </w:r>
      <w:r>
        <w:rPr>
          <w:u w:val="single"/>
        </w:rPr>
        <w:t xml:space="preserve">not otherwise covered by third-party funding</w:t>
      </w:r>
      <w:r>
        <w:rPr/>
        <w:t xml:space="preserve">, including but not limited to books, materials, and supplies.</w:t>
      </w:r>
    </w:p>
    <w:p>
      <w:pPr>
        <w:spacing w:before="0" w:after="0" w:line="408" w:lineRule="exact"/>
        <w:ind w:left="0" w:right="0" w:firstLine="576"/>
        <w:jc w:val="left"/>
      </w:pPr>
      <w:r>
        <w:rPr/>
        <w:t xml:space="preserve">(c)</w:t>
      </w:r>
      <w:r>
        <w:rPr>
          <w:u w:val="single"/>
        </w:rPr>
        <w:t xml:space="preserve">(i)</w:t>
      </w:r>
      <w:r>
        <w:rPr/>
        <w:t xml:space="preserve">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At the incarcerated individual's option, the incarcerated individual may apply for and utilize federal and state financial aid grants and may receive department-approved donated education materials funded by grants and donations and supplied by education providers. The department may not require an incarcerated individual to apply for or utilize financial aid as a condition of participation in an educational program.</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available financial aid or third-party funding</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u w:val="single"/>
        </w:rPr>
        <w:t xml:space="preserve">(ii) For the purposes of this subsection, postaward formula offsets and funds paid by the department for educational programming shall not result in the reduction of any "gift aid," as defined in RCW 28B.145.010.</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w:t>
      </w:r>
      <w:r>
        <w:t>((</w:t>
      </w:r>
      <w:r>
        <w:rPr>
          <w:strike/>
        </w:rPr>
        <w:t xml:space="preserve">sentenced to death under chapter 10.95 RCW or</w:t>
      </w:r>
      <w:r>
        <w:t>))</w:t>
      </w:r>
      <w:r>
        <w:rPr/>
        <w:t xml:space="preserve">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
      <w:pPr>
        <w:jc w:val="center"/>
      </w:pPr>
      <w:r>
        <w:rPr>
          <w:b/>
        </w:rPr>
        <w:t>--- END ---</w:t>
      </w:r>
    </w:p>
    <w:sectPr>
      <w:pgNumType w:start="1"/>
      <w:footerReference xmlns:r="http://schemas.openxmlformats.org/officeDocument/2006/relationships" r:id="R2562de6da31d4d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cbc1230754569" /><Relationship Type="http://schemas.openxmlformats.org/officeDocument/2006/relationships/footer" Target="/word/footer1.xml" Id="R2562de6da31d4d9d" /></Relationships>
</file>