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ef16e66364627" /></Relationships>
</file>

<file path=word/document.xml><?xml version="1.0" encoding="utf-8"?>
<w:document xmlns:w="http://schemas.openxmlformats.org/wordprocessingml/2006/main">
  <w:body>
    <w:p>
      <w:r>
        <w:t>H-2054.1</w:t>
      </w:r>
    </w:p>
    <w:p>
      <w:pPr>
        <w:jc w:val="center"/>
      </w:pPr>
      <w:r>
        <w:t>_______________________________________________</w:t>
      </w:r>
    </w:p>
    <w:p/>
    <w:p>
      <w:pPr>
        <w:jc w:val="center"/>
      </w:pPr>
      <w:r>
        <w:rPr>
          <w:b/>
        </w:rPr>
        <w:t>HOUSE BILL 1948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Ybarra, Fitzgibbon, Reed, Graham, Ormsby, Doglio, and Pollet</w:t>
      </w:r>
    </w:p>
    <w:p/>
    <w:p>
      <w:r>
        <w:rPr>
          <w:t xml:space="preserve">Prefiled 12/14/23.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methods for calculating the electric load of utilities under the energy independence act do not have the effect of discouraging voluntary investments in renewable power; amending RCW 19.285.030; and reenacting and amending RCW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2019 c 288 s 28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 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 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t xml:space="preserve">(h) The environmental attributes, including renewable energy credits, from (g) of this subsection transferred to investor-owned utilities pursuant to the Bonneville power administration's residential exchange program.</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w:t>
      </w:r>
      <w:r>
        <w:rPr>
          <w:u w:val="single"/>
        </w:rPr>
        <w:t xml:space="preserve">(a)</w:t>
      </w:r>
      <w:r>
        <w:rPr/>
        <w:t xml:space="preserve">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u w:val="single"/>
        </w:rPr>
        <w:t xml:space="preserve">(b) "Load" does not include kilowatt-hours delivered to a qualifying utility's system from an eligible renewable resource through a voluntary renewable energy purchase by a retail electric customer of the utility in which the renewable energy credits associated with the kilowatt-hours delivered are retired on behalf of the customer.</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w:t>
      </w:r>
      <w:r>
        <w:t>((</w:t>
      </w:r>
      <w:r>
        <w:rPr>
          <w:strike/>
        </w:rPr>
        <w:t xml:space="preserve">twenty</w:t>
      </w:r>
      <w:r>
        <w:rPr/>
        <w:noBreakHyphen/>
      </w:r>
      <w:r>
        <w:rPr>
          <w:strike/>
        </w:rPr>
        <w:t xml:space="preserve">five thousand</w:t>
      </w:r>
      <w:r>
        <w:t>))</w:t>
      </w:r>
      <w:r>
        <w:rPr/>
        <w:t xml:space="preserve"> </w:t>
      </w:r>
      <w:r>
        <w:rPr>
          <w:u w:val="single"/>
        </w:rPr>
        <w:t xml:space="preserve">25,000</w:t>
      </w:r>
      <w:r>
        <w:rPr/>
        <w:t xml:space="preserve">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one megawatt-hour of an eligible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w:t>
      </w:r>
      <w:r>
        <w:rPr>
          <w:u w:val="single"/>
        </w:rPr>
        <w:t xml:space="preserve">"Voluntary renewable energy purchase" means an elective decision by a retail electric customer of a qualifying utility to purchase eligible renewable resources directly or participate in a program in which the electric utility purchases megawatt-hours from eligible renewable resources, delivers those megawatt-hours to the utility's system, and retires the associated renewable energy credits on behalf of the retail electric customer.</w:t>
      </w:r>
    </w:p>
    <w:p>
      <w:pPr>
        <w:spacing w:before="0" w:after="0" w:line="408" w:lineRule="exact"/>
        <w:ind w:left="0" w:right="0" w:firstLine="576"/>
        <w:jc w:val="left"/>
      </w:pPr>
      <w:r>
        <w:rPr>
          <w:u w:val="single"/>
        </w:rPr>
        <w:t xml:space="preserve">(24)</w:t>
      </w:r>
      <w:r>
        <w:rPr/>
        <w:t xml:space="preserve"> "Year" means the </w:t>
      </w:r>
      <w:r>
        <w:t>((</w:t>
      </w:r>
      <w:r>
        <w:rPr>
          <w:strike/>
        </w:rPr>
        <w:t xml:space="preserve">twelve-month</w:t>
      </w:r>
      <w:r>
        <w:t>))</w:t>
      </w:r>
      <w:r>
        <w:rPr/>
        <w:t xml:space="preserve"> </w:t>
      </w:r>
      <w:r>
        <w:rPr>
          <w:u w:val="single"/>
        </w:rPr>
        <w:t xml:space="preserve">12-month</w:t>
      </w:r>
      <w:r>
        <w:rPr/>
        <w:t xml:space="preserve">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2021 c 315 s 17 and 2021 c 79 s 1 are each reenacted and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w:t>
      </w:r>
      <w:r>
        <w:t>((</w:t>
      </w:r>
      <w:r>
        <w:rPr>
          <w:strike/>
        </w:rPr>
        <w:t xml:space="preserve">twenty</w:t>
      </w:r>
      <w:r>
        <w:t>))</w:t>
      </w:r>
      <w:r>
        <w:rPr/>
        <w:t xml:space="preserve"> </w:t>
      </w:r>
      <w:r>
        <w:rPr>
          <w:u w:val="single"/>
        </w:rPr>
        <w:t xml:space="preserve">20</w:t>
      </w:r>
      <w:r>
        <w:rPr/>
        <w:t xml:space="preserve">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w:t>
      </w:r>
      <w:r>
        <w:t>((</w:t>
      </w:r>
      <w:r>
        <w:rPr>
          <w:strike/>
        </w:rPr>
        <w:t xml:space="preserve">ninety-five thousand</w:t>
      </w:r>
      <w:r>
        <w:t>))</w:t>
      </w:r>
      <w:r>
        <w:rPr/>
        <w:t xml:space="preserve"> </w:t>
      </w:r>
      <w:r>
        <w:rPr>
          <w:u w:val="single"/>
        </w:rPr>
        <w:t xml:space="preserve">95,000</w:t>
      </w:r>
      <w:r>
        <w:rPr/>
        <w:t xml:space="preserve"> and </w:t>
      </w:r>
      <w:r>
        <w:t>((</w:t>
      </w:r>
      <w:r>
        <w:rPr>
          <w:strike/>
        </w:rPr>
        <w:t xml:space="preserve">one hundred fifteen thousand</w:t>
      </w:r>
      <w:r>
        <w:t>))</w:t>
      </w:r>
      <w:r>
        <w:rPr/>
        <w:t xml:space="preserve"> </w:t>
      </w:r>
      <w:r>
        <w:rPr>
          <w:u w:val="single"/>
        </w:rPr>
        <w:t xml:space="preserve">115,000</w:t>
      </w:r>
      <w:r>
        <w:rPr/>
        <w:t xml:space="preserve">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w:t>
      </w:r>
      <w:r>
        <w:t>((</w:t>
      </w:r>
      <w:r>
        <w:rPr>
          <w:strike/>
        </w:rPr>
        <w:t xml:space="preserve">thirty-three</w:t>
      </w:r>
      <w:r>
        <w:t>))</w:t>
      </w:r>
      <w:r>
        <w:rPr/>
        <w:t xml:space="preserve"> </w:t>
      </w:r>
      <w:r>
        <w:rPr>
          <w:u w:val="single"/>
        </w:rPr>
        <w:t xml:space="preserve">33</w:t>
      </w:r>
      <w:r>
        <w:rPr/>
        <w:t xml:space="preserv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t xml:space="preserve">(f)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(g) In addition to the requirements of RCW 19.280.030(3), in assessing the cost-effective conservation required under this section, a qualifying utility is encouraged to promote the adoption of air conditioning, as defined in RCW 70A.60.010,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t xml:space="preserve">(h)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w:t>
      </w:r>
      <w:r>
        <w:t>((</w:t>
      </w:r>
      <w:r>
        <w:rPr>
          <w:strike/>
        </w:rPr>
        <w:t xml:space="preserve">fifteen</w:t>
      </w:r>
      <w:r>
        <w:t>))</w:t>
      </w:r>
      <w:r>
        <w:rPr/>
        <w:t xml:space="preserve"> </w:t>
      </w:r>
      <w:r>
        <w:rPr>
          <w:u w:val="single"/>
        </w:rPr>
        <w:t xml:space="preserve">15</w:t>
      </w:r>
      <w:r>
        <w:rPr/>
        <w:t xml:space="preserve">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w:t>
      </w:r>
      <w:r>
        <w:t>((</w:t>
      </w:r>
      <w:r>
        <w:rPr>
          <w:strike/>
        </w:rPr>
        <w:t xml:space="preserve">one hundred</w:t>
      </w:r>
      <w:r>
        <w:t>))</w:t>
      </w:r>
      <w:r>
        <w:rPr/>
        <w:t xml:space="preserve"> </w:t>
      </w:r>
      <w:r>
        <w:rPr>
          <w:u w:val="single"/>
        </w:rPr>
        <w:t xml:space="preserve">100</w:t>
      </w:r>
      <w:r>
        <w:rPr/>
        <w:t xml:space="preserve">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u w:val="single"/>
        </w:rPr>
        <w:t xml:space="preserve">(n) A qualifying utility shall exclude from its annual targets under this subsection (2) its voluntary renewable energy purchases.</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748eef6a3fe240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bf19098874a9c" /><Relationship Type="http://schemas.openxmlformats.org/officeDocument/2006/relationships/footer" Target="/word/footer1.xml" Id="R748eef6a3fe24085" /></Relationships>
</file>