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787cb4a1043ab" /></Relationships>
</file>

<file path=word/document.xml><?xml version="1.0" encoding="utf-8"?>
<w:document xmlns:w="http://schemas.openxmlformats.org/wordprocessingml/2006/main">
  <w:body>
    <w:p>
      <w:r>
        <w:t>H-2641.1</w:t>
      </w:r>
    </w:p>
    <w:p>
      <w:pPr>
        <w:jc w:val="center"/>
      </w:pPr>
      <w:r>
        <w:t>_______________________________________________</w:t>
      </w:r>
    </w:p>
    <w:p/>
    <w:p>
      <w:pPr>
        <w:jc w:val="center"/>
      </w:pPr>
      <w:r>
        <w:rPr>
          <w:b/>
        </w:rPr>
        <w:t>SUBSTITUTE HOUSE BILL 2000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Mena, Berry, Ramel, Low, Walen, Ryu, Timmons, Reed, Cheney, Nance, Cortes, Santos, and Hackney)</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and repealing RCW 43.15.085.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engagement and economic development.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p>
    <w:p>
      <w:pPr>
        <w:spacing w:before="0" w:after="0" w:line="408" w:lineRule="exact"/>
        <w:ind w:left="0" w:right="0" w:firstLine="576"/>
        <w:jc w:val="left"/>
      </w:pPr>
      <w:r>
        <w:rPr>
          <w:strike/>
        </w:rPr>
        <w:t xml:space="preserve">It is the purpose of this chapter to bring these functions together in a new office under the office of the governor in order to establish a visible, coordinated, and comprehensive approach to international relations and protocol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office of the premier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 are each repealed.</w:t>
      </w:r>
    </w:p>
    <w:p/>
    <w:p>
      <w:pPr>
        <w:jc w:val="center"/>
      </w:pPr>
      <w:r>
        <w:rPr>
          <w:b/>
        </w:rPr>
        <w:t>--- END ---</w:t>
      </w:r>
    </w:p>
    <w:sectPr>
      <w:pgNumType w:start="1"/>
      <w:footerReference xmlns:r="http://schemas.openxmlformats.org/officeDocument/2006/relationships" r:id="R479c8c87ab0047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f24d1c2074589" /><Relationship Type="http://schemas.openxmlformats.org/officeDocument/2006/relationships/footer" Target="/word/footer1.xml" Id="R479c8c87ab0047c3" /></Relationships>
</file>